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highlight w:val="none"/>
        </w:rPr>
      </w:pPr>
      <w:bookmarkStart w:id="0" w:name="_Toc18426"/>
      <w:bookmarkStart w:id="1" w:name="_Toc11473"/>
    </w:p>
    <w:p>
      <w:pPr>
        <w:spacing w:line="560" w:lineRule="exact"/>
        <w:rPr>
          <w:rFonts w:hAnsi="宋体"/>
          <w:b/>
          <w:bCs/>
          <w:sz w:val="48"/>
          <w:szCs w:val="48"/>
          <w:highlight w:val="none"/>
        </w:rPr>
      </w:pPr>
    </w:p>
    <w:p>
      <w:pPr>
        <w:spacing w:line="560" w:lineRule="exact"/>
        <w:rPr>
          <w:rFonts w:hAnsi="宋体"/>
          <w:b/>
          <w:bCs/>
          <w:sz w:val="48"/>
          <w:szCs w:val="48"/>
          <w:highlight w:val="none"/>
        </w:rPr>
      </w:pPr>
    </w:p>
    <w:p>
      <w:pPr>
        <w:spacing w:line="560" w:lineRule="exact"/>
        <w:jc w:val="center"/>
        <w:rPr>
          <w:rFonts w:hAnsi="宋体" w:cs="黑体"/>
          <w:b/>
          <w:sz w:val="44"/>
          <w:szCs w:val="44"/>
          <w:highlight w:val="none"/>
        </w:rPr>
      </w:pPr>
      <w:r>
        <w:rPr>
          <w:rFonts w:hint="eastAsia" w:hAnsi="宋体" w:cs="黑体"/>
          <w:b/>
          <w:sz w:val="44"/>
          <w:szCs w:val="44"/>
          <w:highlight w:val="none"/>
        </w:rPr>
        <w:t>四川蜀物蓉欧实业有限公司</w:t>
      </w:r>
    </w:p>
    <w:p>
      <w:pPr>
        <w:spacing w:line="560" w:lineRule="exact"/>
        <w:jc w:val="center"/>
        <w:rPr>
          <w:rFonts w:hAnsi="宋体" w:cs="黑体"/>
          <w:b/>
          <w:sz w:val="48"/>
          <w:szCs w:val="48"/>
          <w:highlight w:val="none"/>
        </w:rPr>
      </w:pPr>
      <w:bookmarkStart w:id="2" w:name="_Hlk132385654"/>
      <w:r>
        <w:rPr>
          <w:rFonts w:hint="eastAsia" w:hAnsi="宋体" w:cs="黑体"/>
          <w:b/>
          <w:sz w:val="44"/>
          <w:szCs w:val="44"/>
          <w:highlight w:val="none"/>
        </w:rPr>
        <w:t>人力资源服务中介机构选聘项目</w:t>
      </w:r>
      <w:bookmarkEnd w:id="2"/>
    </w:p>
    <w:p>
      <w:pPr>
        <w:spacing w:line="560" w:lineRule="exact"/>
        <w:ind w:firstLine="964" w:firstLineChars="200"/>
        <w:jc w:val="center"/>
        <w:rPr>
          <w:rFonts w:hAnsi="宋体"/>
          <w:b/>
          <w:bCs/>
          <w:sz w:val="48"/>
          <w:szCs w:val="48"/>
          <w:highlight w:val="none"/>
        </w:rPr>
      </w:pPr>
    </w:p>
    <w:p>
      <w:pPr>
        <w:jc w:val="center"/>
        <w:rPr>
          <w:rFonts w:hAnsi="宋体"/>
          <w:b/>
          <w:bCs/>
          <w:sz w:val="48"/>
          <w:szCs w:val="48"/>
          <w:highlight w:val="none"/>
        </w:rPr>
      </w:pPr>
    </w:p>
    <w:p>
      <w:pPr>
        <w:jc w:val="center"/>
        <w:rPr>
          <w:rFonts w:hAnsi="宋体"/>
          <w:b/>
          <w:bCs/>
          <w:sz w:val="48"/>
          <w:szCs w:val="48"/>
          <w:highlight w:val="none"/>
        </w:rPr>
      </w:pPr>
    </w:p>
    <w:p>
      <w:pPr>
        <w:jc w:val="center"/>
        <w:rPr>
          <w:rFonts w:hAnsi="宋体" w:cs="黑体"/>
          <w:b/>
          <w:bCs/>
          <w:sz w:val="96"/>
          <w:szCs w:val="48"/>
          <w:highlight w:val="none"/>
        </w:rPr>
      </w:pPr>
      <w:r>
        <w:rPr>
          <w:rFonts w:hint="eastAsia" w:hAnsi="宋体" w:cs="黑体"/>
          <w:b/>
          <w:bCs/>
          <w:sz w:val="96"/>
          <w:szCs w:val="48"/>
          <w:highlight w:val="none"/>
        </w:rPr>
        <w:t>比选文件</w:t>
      </w:r>
    </w:p>
    <w:p>
      <w:pPr>
        <w:rPr>
          <w:rFonts w:hAnsi="宋体"/>
          <w:b/>
          <w:highlight w:val="none"/>
        </w:rPr>
      </w:pPr>
    </w:p>
    <w:p>
      <w:pPr>
        <w:rPr>
          <w:rFonts w:hAnsi="宋体"/>
          <w:b/>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spacing w:line="560" w:lineRule="exact"/>
        <w:rPr>
          <w:rFonts w:hAnsi="宋体"/>
          <w:b/>
          <w:bCs/>
          <w:highlight w:val="none"/>
        </w:rPr>
      </w:pPr>
    </w:p>
    <w:p>
      <w:pPr>
        <w:adjustRightInd w:val="0"/>
        <w:spacing w:line="560" w:lineRule="exact"/>
        <w:jc w:val="center"/>
        <w:rPr>
          <w:rFonts w:hAnsi="宋体"/>
          <w:b/>
          <w:bCs/>
          <w:sz w:val="28"/>
          <w:szCs w:val="28"/>
          <w:highlight w:val="none"/>
        </w:rPr>
      </w:pPr>
    </w:p>
    <w:p>
      <w:pPr>
        <w:spacing w:line="560" w:lineRule="exact"/>
        <w:jc w:val="center"/>
        <w:rPr>
          <w:rFonts w:hAnsi="宋体"/>
          <w:b/>
          <w:bCs/>
          <w:sz w:val="28"/>
          <w:szCs w:val="28"/>
          <w:highlight w:val="none"/>
        </w:rPr>
      </w:pPr>
      <w:r>
        <w:rPr>
          <w:rFonts w:hint="eastAsia" w:hAnsi="宋体"/>
          <w:b/>
          <w:bCs/>
          <w:sz w:val="28"/>
          <w:szCs w:val="28"/>
          <w:highlight w:val="none"/>
        </w:rPr>
        <w:t>比选人：四川蜀物蓉欧实业有限公司</w:t>
      </w:r>
    </w:p>
    <w:p>
      <w:pPr>
        <w:spacing w:line="560" w:lineRule="exact"/>
        <w:rPr>
          <w:rFonts w:hAnsi="宋体"/>
          <w:b/>
          <w:bCs/>
          <w:sz w:val="28"/>
          <w:szCs w:val="28"/>
          <w:highlight w:val="none"/>
        </w:rPr>
      </w:pPr>
    </w:p>
    <w:p>
      <w:pPr>
        <w:spacing w:line="560" w:lineRule="exact"/>
        <w:jc w:val="center"/>
        <w:rPr>
          <w:rFonts w:hAnsi="宋体"/>
          <w:b/>
          <w:bCs/>
          <w:sz w:val="28"/>
          <w:szCs w:val="28"/>
          <w:highlight w:val="none"/>
        </w:rPr>
      </w:pPr>
      <w:r>
        <w:rPr>
          <w:rFonts w:hAnsi="宋体"/>
          <w:b/>
          <w:sz w:val="28"/>
          <w:szCs w:val="28"/>
          <w:highlight w:val="none"/>
        </w:rPr>
        <w:t>二</w:t>
      </w:r>
      <w:r>
        <w:rPr>
          <w:rFonts w:hAnsi="宋体"/>
          <w:b/>
          <w:bCs/>
          <w:sz w:val="28"/>
          <w:szCs w:val="28"/>
          <w:highlight w:val="none"/>
        </w:rPr>
        <w:t>〇二</w:t>
      </w:r>
      <w:r>
        <w:rPr>
          <w:rFonts w:hint="eastAsia" w:hAnsi="宋体"/>
          <w:b/>
          <w:bCs/>
          <w:sz w:val="28"/>
          <w:szCs w:val="28"/>
          <w:highlight w:val="none"/>
        </w:rPr>
        <w:t>四</w:t>
      </w:r>
      <w:r>
        <w:rPr>
          <w:rFonts w:hAnsi="宋体"/>
          <w:b/>
          <w:sz w:val="28"/>
          <w:szCs w:val="28"/>
          <w:highlight w:val="none"/>
        </w:rPr>
        <w:t>年</w:t>
      </w:r>
      <w:r>
        <w:rPr>
          <w:rFonts w:hint="eastAsia" w:hAnsi="宋体"/>
          <w:b/>
          <w:sz w:val="28"/>
          <w:szCs w:val="28"/>
          <w:highlight w:val="none"/>
          <w:lang w:val="en-US" w:eastAsia="zh-CN"/>
        </w:rPr>
        <w:t>四</w:t>
      </w:r>
      <w:r>
        <w:rPr>
          <w:rFonts w:hAnsi="宋体"/>
          <w:b/>
          <w:sz w:val="28"/>
          <w:szCs w:val="28"/>
          <w:highlight w:val="none"/>
        </w:rPr>
        <w:t>月</w:t>
      </w:r>
    </w:p>
    <w:p>
      <w:pPr>
        <w:spacing w:line="560" w:lineRule="exact"/>
        <w:rPr>
          <w:rFonts w:hAnsi="宋体"/>
          <w:highlight w:val="none"/>
        </w:rPr>
      </w:pPr>
    </w:p>
    <w:p>
      <w:pPr>
        <w:pStyle w:val="22"/>
        <w:spacing w:before="0" w:line="560" w:lineRule="exact"/>
        <w:jc w:val="center"/>
        <w:rPr>
          <w:rFonts w:ascii="宋体" w:hAnsi="宋体"/>
          <w:color w:val="auto"/>
          <w:highlight w:val="none"/>
          <w:lang w:val="zh-CN"/>
        </w:rPr>
      </w:pPr>
    </w:p>
    <w:p>
      <w:pPr>
        <w:pStyle w:val="22"/>
        <w:spacing w:before="0" w:line="560" w:lineRule="exact"/>
        <w:jc w:val="center"/>
        <w:rPr>
          <w:rFonts w:ascii="宋体" w:hAnsi="宋体"/>
          <w:color w:val="auto"/>
          <w:sz w:val="32"/>
          <w:szCs w:val="32"/>
          <w:highlight w:val="none"/>
        </w:rPr>
      </w:pPr>
      <w:r>
        <w:rPr>
          <w:rFonts w:ascii="宋体" w:hAnsi="宋体"/>
          <w:color w:val="auto"/>
          <w:sz w:val="32"/>
          <w:szCs w:val="32"/>
          <w:highlight w:val="none"/>
          <w:lang w:val="zh-CN"/>
        </w:rPr>
        <w:t>目</w:t>
      </w:r>
      <w:r>
        <w:rPr>
          <w:rFonts w:ascii="宋体" w:hAnsi="宋体"/>
          <w:color w:val="auto"/>
          <w:sz w:val="32"/>
          <w:szCs w:val="32"/>
          <w:highlight w:val="none"/>
        </w:rPr>
        <w:t xml:space="preserve">    </w:t>
      </w:r>
      <w:r>
        <w:rPr>
          <w:rFonts w:ascii="宋体" w:hAnsi="宋体"/>
          <w:color w:val="auto"/>
          <w:sz w:val="32"/>
          <w:szCs w:val="32"/>
          <w:highlight w:val="none"/>
          <w:lang w:val="zh-CN"/>
        </w:rPr>
        <w:t>录</w:t>
      </w:r>
      <w:bookmarkEnd w:id="0"/>
      <w:bookmarkEnd w:id="1"/>
    </w:p>
    <w:p>
      <w:pPr>
        <w:pStyle w:val="12"/>
        <w:tabs>
          <w:tab w:val="right" w:leader="dot" w:pos="8891"/>
        </w:tabs>
        <w:spacing w:before="0" w:after="0" w:line="560" w:lineRule="exact"/>
        <w:rPr>
          <w:rFonts w:hAnsi="宋体"/>
          <w:bCs w:val="0"/>
          <w:caps w:val="0"/>
          <w:kern w:val="2"/>
          <w:sz w:val="24"/>
          <w:szCs w:val="24"/>
          <w:highlight w:val="none"/>
        </w:rPr>
      </w:pPr>
      <w:r>
        <w:rPr>
          <w:rFonts w:hAnsi="宋体"/>
          <w:sz w:val="24"/>
          <w:szCs w:val="24"/>
          <w:highlight w:val="none"/>
        </w:rPr>
        <w:fldChar w:fldCharType="begin"/>
      </w:r>
      <w:r>
        <w:rPr>
          <w:rFonts w:hAnsi="宋体"/>
          <w:sz w:val="24"/>
          <w:szCs w:val="24"/>
          <w:highlight w:val="none"/>
        </w:rPr>
        <w:instrText xml:space="preserve"> TOC \o "1-3" \h \z \u </w:instrText>
      </w:r>
      <w:r>
        <w:rPr>
          <w:rFonts w:hAnsi="宋体"/>
          <w:sz w:val="24"/>
          <w:szCs w:val="24"/>
          <w:highlight w:val="none"/>
        </w:rPr>
        <w:fldChar w:fldCharType="separate"/>
      </w:r>
    </w:p>
    <w:p>
      <w:pPr>
        <w:spacing w:line="560" w:lineRule="exact"/>
        <w:rPr>
          <w:rFonts w:hAnsi="宋体"/>
          <w:sz w:val="18"/>
          <w:szCs w:val="18"/>
          <w:highlight w:val="none"/>
        </w:rPr>
      </w:pPr>
      <w:r>
        <w:rPr>
          <w:rFonts w:hAnsi="宋体"/>
          <w:sz w:val="24"/>
          <w:szCs w:val="24"/>
          <w:highlight w:val="none"/>
        </w:rPr>
        <w:fldChar w:fldCharType="end"/>
      </w:r>
    </w:p>
    <w:p>
      <w:pPr>
        <w:pStyle w:val="12"/>
        <w:tabs>
          <w:tab w:val="right" w:leader="dot" w:pos="8891"/>
        </w:tabs>
        <w:spacing w:before="0" w:after="0" w:line="560" w:lineRule="exact"/>
        <w:rPr>
          <w:rFonts w:hAnsi="宋体"/>
          <w:b w:val="0"/>
          <w:bCs w:val="0"/>
          <w:caps w:val="0"/>
          <w:kern w:val="2"/>
          <w:sz w:val="28"/>
          <w:szCs w:val="28"/>
          <w:highlight w:val="none"/>
        </w:rPr>
      </w:pPr>
      <w:r>
        <w:rPr>
          <w:rFonts w:hAnsi="宋体"/>
          <w:b w:val="0"/>
          <w:bCs w:val="0"/>
          <w:sz w:val="28"/>
          <w:szCs w:val="28"/>
          <w:highlight w:val="none"/>
        </w:rPr>
        <w:fldChar w:fldCharType="begin"/>
      </w:r>
      <w:r>
        <w:rPr>
          <w:rFonts w:hAnsi="宋体"/>
          <w:b w:val="0"/>
          <w:bCs w:val="0"/>
          <w:sz w:val="28"/>
          <w:szCs w:val="28"/>
          <w:highlight w:val="none"/>
        </w:rPr>
        <w:instrText xml:space="preserve">TOC \o "1-2" \h \u </w:instrText>
      </w:r>
      <w:r>
        <w:rPr>
          <w:rFonts w:hAnsi="宋体"/>
          <w:b w:val="0"/>
          <w:bCs w:val="0"/>
          <w:sz w:val="28"/>
          <w:szCs w:val="28"/>
          <w:highlight w:val="none"/>
        </w:rPr>
        <w:fldChar w:fldCharType="separate"/>
      </w:r>
      <w:r>
        <w:rPr>
          <w:highlight w:val="none"/>
        </w:rPr>
        <w:fldChar w:fldCharType="begin"/>
      </w:r>
      <w:r>
        <w:rPr>
          <w:highlight w:val="none"/>
        </w:rPr>
        <w:instrText xml:space="preserve"> HYPERLINK \l "_Toc475463259" </w:instrText>
      </w:r>
      <w:r>
        <w:rPr>
          <w:highlight w:val="none"/>
        </w:rPr>
        <w:fldChar w:fldCharType="separate"/>
      </w:r>
      <w:r>
        <w:rPr>
          <w:rStyle w:val="20"/>
          <w:rFonts w:hAnsi="宋体"/>
          <w:color w:val="auto"/>
          <w:sz w:val="28"/>
          <w:szCs w:val="28"/>
          <w:highlight w:val="none"/>
        </w:rPr>
        <w:t>第一章 比选公告</w:t>
      </w:r>
      <w:r>
        <w:rPr>
          <w:rFonts w:hAnsi="宋体"/>
          <w:sz w:val="28"/>
          <w:szCs w:val="28"/>
          <w:highlight w:val="none"/>
        </w:rPr>
        <w:tab/>
      </w:r>
      <w:r>
        <w:rPr>
          <w:rFonts w:hAnsi="宋体"/>
          <w:sz w:val="28"/>
          <w:szCs w:val="28"/>
          <w:highlight w:val="none"/>
        </w:rPr>
        <w:fldChar w:fldCharType="end"/>
      </w:r>
      <w:r>
        <w:rPr>
          <w:rFonts w:hint="eastAsia" w:hAnsi="宋体"/>
          <w:sz w:val="28"/>
          <w:szCs w:val="28"/>
          <w:highlight w:val="none"/>
        </w:rPr>
        <w:t>3</w:t>
      </w:r>
    </w:p>
    <w:p>
      <w:pPr>
        <w:pStyle w:val="12"/>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"_Toc475463260" </w:instrText>
      </w:r>
      <w:r>
        <w:rPr>
          <w:highlight w:val="none"/>
        </w:rPr>
        <w:fldChar w:fldCharType="separate"/>
      </w:r>
      <w:r>
        <w:rPr>
          <w:rStyle w:val="20"/>
          <w:rFonts w:hAnsi="宋体"/>
          <w:color w:val="auto"/>
          <w:sz w:val="28"/>
          <w:szCs w:val="28"/>
          <w:highlight w:val="none"/>
        </w:rPr>
        <w:t>第二章 比选申请人须知</w:t>
      </w:r>
      <w:r>
        <w:rPr>
          <w:rFonts w:hint="eastAsia" w:hAnsi="宋体"/>
          <w:sz w:val="28"/>
          <w:szCs w:val="28"/>
          <w:highlight w:val="none"/>
        </w:rPr>
        <w:tab/>
      </w:r>
      <w:r>
        <w:rPr>
          <w:rFonts w:hint="eastAsia" w:hAnsi="宋体"/>
          <w:sz w:val="28"/>
          <w:szCs w:val="28"/>
          <w:highlight w:val="none"/>
        </w:rPr>
        <w:fldChar w:fldCharType="end"/>
      </w:r>
      <w:r>
        <w:rPr>
          <w:rFonts w:hint="eastAsia" w:hAnsi="宋体"/>
          <w:sz w:val="28"/>
          <w:szCs w:val="28"/>
          <w:highlight w:val="none"/>
        </w:rPr>
        <w:t>7</w:t>
      </w:r>
    </w:p>
    <w:p>
      <w:pPr>
        <w:pStyle w:val="12"/>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"_Toc475463261" </w:instrText>
      </w:r>
      <w:r>
        <w:rPr>
          <w:highlight w:val="none"/>
        </w:rPr>
        <w:fldChar w:fldCharType="separate"/>
      </w:r>
      <w:r>
        <w:rPr>
          <w:rStyle w:val="20"/>
          <w:rFonts w:hAnsi="宋体"/>
          <w:color w:val="auto"/>
          <w:sz w:val="28"/>
          <w:szCs w:val="28"/>
          <w:highlight w:val="none"/>
        </w:rPr>
        <w:t>第三章 评审办法及评分标准</w:t>
      </w:r>
      <w:r>
        <w:rPr>
          <w:rFonts w:hAnsi="宋体"/>
          <w:sz w:val="28"/>
          <w:szCs w:val="28"/>
          <w:highlight w:val="none"/>
        </w:rPr>
        <w:tab/>
      </w:r>
      <w:r>
        <w:rPr>
          <w:rFonts w:hAnsi="宋体"/>
          <w:sz w:val="28"/>
          <w:szCs w:val="28"/>
          <w:highlight w:val="none"/>
        </w:rPr>
        <w:fldChar w:fldCharType="end"/>
      </w:r>
      <w:r>
        <w:rPr>
          <w:rFonts w:hint="eastAsia" w:hAnsi="宋体"/>
          <w:sz w:val="28"/>
          <w:szCs w:val="28"/>
          <w:highlight w:val="none"/>
        </w:rPr>
        <w:t>20</w:t>
      </w:r>
    </w:p>
    <w:p>
      <w:pPr>
        <w:pStyle w:val="12"/>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"_Toc475463262" </w:instrText>
      </w:r>
      <w:r>
        <w:rPr>
          <w:highlight w:val="none"/>
        </w:rPr>
        <w:fldChar w:fldCharType="separate"/>
      </w:r>
      <w:r>
        <w:rPr>
          <w:rStyle w:val="20"/>
          <w:rFonts w:hAnsi="宋体"/>
          <w:color w:val="auto"/>
          <w:sz w:val="28"/>
          <w:szCs w:val="28"/>
          <w:highlight w:val="none"/>
        </w:rPr>
        <w:t>第四章 合同条款及格式</w:t>
      </w:r>
      <w:r>
        <w:rPr>
          <w:rFonts w:hAnsi="宋体"/>
          <w:sz w:val="28"/>
          <w:szCs w:val="28"/>
          <w:highlight w:val="none"/>
        </w:rPr>
        <w:tab/>
      </w:r>
      <w:r>
        <w:rPr>
          <w:rFonts w:hAnsi="宋体"/>
          <w:sz w:val="28"/>
          <w:szCs w:val="28"/>
          <w:highlight w:val="none"/>
        </w:rPr>
        <w:fldChar w:fldCharType="end"/>
      </w:r>
      <w:r>
        <w:rPr>
          <w:rFonts w:hint="eastAsia" w:hAnsi="宋体"/>
          <w:sz w:val="28"/>
          <w:szCs w:val="28"/>
          <w:highlight w:val="none"/>
        </w:rPr>
        <w:t>28</w:t>
      </w:r>
    </w:p>
    <w:p>
      <w:pPr>
        <w:pStyle w:val="12"/>
        <w:tabs>
          <w:tab w:val="right" w:leader="dot" w:pos="8891"/>
        </w:tabs>
        <w:spacing w:before="0" w:after="0" w:line="560" w:lineRule="exact"/>
        <w:rPr>
          <w:rFonts w:hAnsi="宋体"/>
          <w:b w:val="0"/>
          <w:bCs w:val="0"/>
          <w:caps w:val="0"/>
          <w:kern w:val="2"/>
          <w:sz w:val="28"/>
          <w:szCs w:val="28"/>
          <w:highlight w:val="none"/>
        </w:rPr>
      </w:pPr>
      <w:r>
        <w:rPr>
          <w:highlight w:val="none"/>
        </w:rPr>
        <w:fldChar w:fldCharType="begin"/>
      </w:r>
      <w:r>
        <w:rPr>
          <w:highlight w:val="none"/>
        </w:rPr>
        <w:instrText xml:space="preserve"> HYPERLINK \l "_Toc475463263" </w:instrText>
      </w:r>
      <w:r>
        <w:rPr>
          <w:highlight w:val="none"/>
        </w:rPr>
        <w:fldChar w:fldCharType="separate"/>
      </w:r>
      <w:r>
        <w:rPr>
          <w:rStyle w:val="20"/>
          <w:rFonts w:hAnsi="宋体"/>
          <w:color w:val="auto"/>
          <w:sz w:val="28"/>
          <w:szCs w:val="28"/>
          <w:highlight w:val="none"/>
        </w:rPr>
        <w:t>第五章 比选申请文件格式</w:t>
      </w:r>
      <w:r>
        <w:rPr>
          <w:rFonts w:hAnsi="宋体"/>
          <w:sz w:val="28"/>
          <w:szCs w:val="28"/>
          <w:highlight w:val="none"/>
        </w:rPr>
        <w:tab/>
      </w:r>
      <w:r>
        <w:rPr>
          <w:rFonts w:hAnsi="宋体"/>
          <w:sz w:val="28"/>
          <w:szCs w:val="28"/>
          <w:highlight w:val="none"/>
        </w:rPr>
        <w:fldChar w:fldCharType="end"/>
      </w:r>
      <w:r>
        <w:rPr>
          <w:rFonts w:hint="eastAsia" w:hAnsi="宋体"/>
          <w:sz w:val="28"/>
          <w:szCs w:val="28"/>
          <w:highlight w:val="none"/>
        </w:rPr>
        <w:t>39</w:t>
      </w:r>
    </w:p>
    <w:p>
      <w:pPr>
        <w:pStyle w:val="12"/>
        <w:tabs>
          <w:tab w:val="right" w:leader="dot" w:pos="8364"/>
        </w:tabs>
        <w:spacing w:before="0" w:after="0" w:line="560" w:lineRule="exact"/>
        <w:rPr>
          <w:rFonts w:hAnsi="宋体"/>
          <w:b w:val="0"/>
          <w:bCs w:val="0"/>
          <w:sz w:val="36"/>
          <w:szCs w:val="36"/>
          <w:highlight w:val="none"/>
        </w:rPr>
        <w:sectPr>
          <w:footerReference r:id="rId4" w:type="first"/>
          <w:footerReference r:id="rId3" w:type="default"/>
          <w:pgSz w:w="11906" w:h="16838"/>
          <w:pgMar w:top="1417" w:right="1304" w:bottom="1417" w:left="1701" w:header="851" w:footer="850" w:gutter="0"/>
          <w:pgNumType w:start="0"/>
          <w:cols w:space="720" w:num="1"/>
          <w:titlePg/>
          <w:docGrid w:linePitch="312" w:charSpace="0"/>
        </w:sectPr>
      </w:pPr>
      <w:r>
        <w:rPr>
          <w:rFonts w:hAnsi="宋体"/>
          <w:b w:val="0"/>
          <w:bCs w:val="0"/>
          <w:sz w:val="28"/>
          <w:szCs w:val="28"/>
          <w:highlight w:val="none"/>
        </w:rPr>
        <w:fldChar w:fldCharType="end"/>
      </w:r>
    </w:p>
    <w:p>
      <w:pPr>
        <w:pStyle w:val="3"/>
        <w:spacing w:line="560" w:lineRule="exact"/>
        <w:jc w:val="center"/>
        <w:rPr>
          <w:rFonts w:ascii="宋体" w:hAnsi="宋体"/>
          <w:highlight w:val="none"/>
        </w:rPr>
      </w:pPr>
      <w:bookmarkStart w:id="3" w:name="_Toc367283265"/>
      <w:bookmarkStart w:id="4" w:name="_Toc231107916"/>
      <w:bookmarkStart w:id="5" w:name="_Toc446487110"/>
      <w:bookmarkStart w:id="6" w:name="_Toc408316975"/>
      <w:bookmarkStart w:id="7" w:name="_Toc475463259"/>
      <w:bookmarkStart w:id="8" w:name="_Toc184635069"/>
      <w:r>
        <w:rPr>
          <w:rFonts w:ascii="宋体" w:hAnsi="宋体"/>
          <w:highlight w:val="none"/>
        </w:rPr>
        <w:t>第一章 比选公告</w:t>
      </w:r>
      <w:bookmarkEnd w:id="3"/>
      <w:bookmarkEnd w:id="4"/>
      <w:bookmarkEnd w:id="5"/>
      <w:bookmarkEnd w:id="6"/>
      <w:bookmarkEnd w:id="7"/>
    </w:p>
    <w:p>
      <w:pPr>
        <w:pStyle w:val="5"/>
        <w:spacing w:line="560" w:lineRule="exact"/>
        <w:ind w:firstLine="643" w:firstLineChars="200"/>
        <w:rPr>
          <w:rFonts w:ascii="宋体" w:hAnsi="宋体"/>
          <w:szCs w:val="32"/>
          <w:highlight w:val="none"/>
        </w:rPr>
      </w:pPr>
      <w:bookmarkStart w:id="9" w:name="_Toc367283266"/>
      <w:r>
        <w:rPr>
          <w:rFonts w:ascii="宋体" w:hAnsi="宋体"/>
          <w:szCs w:val="32"/>
          <w:highlight w:val="none"/>
        </w:rPr>
        <w:t>1.比选条件</w:t>
      </w:r>
    </w:p>
    <w:p>
      <w:pPr>
        <w:adjustRightInd w:val="0"/>
        <w:spacing w:line="560" w:lineRule="exact"/>
        <w:ind w:firstLine="640" w:firstLineChars="200"/>
        <w:rPr>
          <w:rFonts w:hAnsi="宋体"/>
          <w:sz w:val="32"/>
          <w:szCs w:val="32"/>
          <w:highlight w:val="none"/>
        </w:rPr>
      </w:pPr>
      <w:r>
        <w:rPr>
          <w:rFonts w:hAnsi="宋体"/>
          <w:sz w:val="32"/>
          <w:szCs w:val="32"/>
          <w:highlight w:val="none"/>
        </w:rPr>
        <w:t>1.1本比选项目为</w:t>
      </w:r>
      <w:r>
        <w:rPr>
          <w:rFonts w:hint="eastAsia" w:hAnsi="宋体"/>
          <w:sz w:val="32"/>
          <w:szCs w:val="32"/>
          <w:highlight w:val="none"/>
        </w:rPr>
        <w:t>四川蜀物蓉欧实业有限公司人力资源服务中介机构选聘项目</w:t>
      </w:r>
      <w:r>
        <w:rPr>
          <w:rFonts w:hAnsi="宋体"/>
          <w:sz w:val="32"/>
          <w:szCs w:val="32"/>
          <w:highlight w:val="none"/>
        </w:rPr>
        <w:t>，项目业主为</w:t>
      </w:r>
      <w:r>
        <w:rPr>
          <w:rFonts w:hint="eastAsia" w:hAnsi="宋体"/>
          <w:sz w:val="32"/>
          <w:szCs w:val="32"/>
          <w:highlight w:val="none"/>
        </w:rPr>
        <w:t>四川蜀物蓉欧实业有限公司</w:t>
      </w:r>
      <w:r>
        <w:rPr>
          <w:rFonts w:hAnsi="宋体"/>
          <w:sz w:val="32"/>
          <w:szCs w:val="32"/>
          <w:highlight w:val="none"/>
        </w:rPr>
        <w:t>（以下简称</w:t>
      </w:r>
      <w:r>
        <w:rPr>
          <w:rFonts w:hint="eastAsia" w:hAnsi="宋体"/>
          <w:sz w:val="32"/>
          <w:szCs w:val="32"/>
          <w:highlight w:val="none"/>
        </w:rPr>
        <w:t>蓉欧公司</w:t>
      </w:r>
      <w:r>
        <w:rPr>
          <w:rFonts w:hAnsi="宋体"/>
          <w:sz w:val="32"/>
          <w:szCs w:val="32"/>
          <w:highlight w:val="none"/>
        </w:rPr>
        <w:t>），资金来自业主自筹。</w:t>
      </w:r>
      <w:r>
        <w:rPr>
          <w:rFonts w:hAnsi="宋体"/>
          <w:sz w:val="32"/>
          <w:szCs w:val="32"/>
          <w:highlight w:val="none"/>
          <w:lang w:bidi="he-IL"/>
        </w:rPr>
        <w:t>现拟通过公开比选选择合适的咨询服务单位开展</w:t>
      </w:r>
      <w:r>
        <w:rPr>
          <w:rFonts w:hint="eastAsia" w:hAnsi="宋体"/>
          <w:sz w:val="32"/>
          <w:szCs w:val="32"/>
          <w:highlight w:val="none"/>
          <w:lang w:bidi="he-IL"/>
        </w:rPr>
        <w:t>蓉欧公司人力资源服务</w:t>
      </w:r>
      <w:r>
        <w:rPr>
          <w:rFonts w:hAnsi="宋体"/>
          <w:sz w:val="32"/>
          <w:szCs w:val="32"/>
          <w:highlight w:val="none"/>
        </w:rPr>
        <w:t>，诚邀符合资格条件的潜在比选申请人参与本项目的比选。</w:t>
      </w:r>
    </w:p>
    <w:p>
      <w:pPr>
        <w:adjustRightInd w:val="0"/>
        <w:spacing w:line="560" w:lineRule="exact"/>
        <w:ind w:firstLine="640" w:firstLineChars="200"/>
        <w:jc w:val="left"/>
        <w:rPr>
          <w:rFonts w:hAnsi="宋体"/>
          <w:sz w:val="32"/>
          <w:szCs w:val="32"/>
          <w:highlight w:val="none"/>
          <w:lang w:bidi="he-IL"/>
        </w:rPr>
      </w:pPr>
      <w:r>
        <w:rPr>
          <w:rFonts w:hAnsi="宋体"/>
          <w:sz w:val="32"/>
          <w:szCs w:val="32"/>
          <w:highlight w:val="none"/>
          <w:lang w:bidi="he-IL"/>
        </w:rPr>
        <w:t>1.2 本项目的比选人：</w:t>
      </w:r>
      <w:r>
        <w:rPr>
          <w:rFonts w:hint="eastAsia" w:hAnsi="宋体"/>
          <w:sz w:val="32"/>
          <w:szCs w:val="32"/>
          <w:highlight w:val="none"/>
          <w:lang w:bidi="he-IL"/>
        </w:rPr>
        <w:t>蓉欧</w:t>
      </w:r>
      <w:r>
        <w:rPr>
          <w:rFonts w:hint="eastAsia" w:hAnsi="宋体"/>
          <w:sz w:val="32"/>
          <w:szCs w:val="32"/>
          <w:highlight w:val="none"/>
        </w:rPr>
        <w:t>公司</w:t>
      </w:r>
      <w:r>
        <w:rPr>
          <w:rFonts w:hAnsi="宋体"/>
          <w:sz w:val="32"/>
          <w:szCs w:val="32"/>
          <w:highlight w:val="none"/>
          <w:lang w:bidi="he-IL"/>
        </w:rPr>
        <w:t>。</w:t>
      </w:r>
    </w:p>
    <w:p>
      <w:pPr>
        <w:pStyle w:val="5"/>
        <w:spacing w:line="560" w:lineRule="exact"/>
        <w:ind w:firstLine="643" w:firstLineChars="200"/>
        <w:rPr>
          <w:rFonts w:ascii="宋体" w:hAnsi="宋体"/>
          <w:szCs w:val="32"/>
          <w:highlight w:val="none"/>
        </w:rPr>
      </w:pPr>
      <w:r>
        <w:rPr>
          <w:rFonts w:ascii="宋体" w:hAnsi="宋体"/>
          <w:szCs w:val="32"/>
          <w:highlight w:val="none"/>
        </w:rPr>
        <w:t>2.项目概况与比选范围</w:t>
      </w:r>
    </w:p>
    <w:p>
      <w:pPr>
        <w:spacing w:line="560" w:lineRule="exact"/>
        <w:ind w:firstLine="644" w:firstLineChars="200"/>
        <w:rPr>
          <w:rFonts w:hAnsi="宋体"/>
          <w:color w:val="000000" w:themeColor="text1"/>
          <w:spacing w:val="1"/>
          <w:sz w:val="32"/>
          <w:szCs w:val="32"/>
          <w:highlight w:val="none"/>
          <w14:textFill>
            <w14:solidFill>
              <w14:schemeClr w14:val="tx1"/>
            </w14:solidFill>
          </w14:textFill>
        </w:rPr>
      </w:pPr>
      <w:bookmarkStart w:id="10" w:name="_Toc298781671"/>
      <w:bookmarkStart w:id="11" w:name="_Toc32315"/>
      <w:bookmarkStart w:id="12" w:name="_Toc9699"/>
      <w:bookmarkStart w:id="13" w:name="_Toc298764493"/>
      <w:bookmarkStart w:id="14" w:name="_Toc16545"/>
      <w:bookmarkStart w:id="15" w:name="_Toc24043"/>
      <w:bookmarkStart w:id="16" w:name="_Toc298764774"/>
      <w:bookmarkStart w:id="17" w:name="_Toc19597"/>
      <w:bookmarkStart w:id="18" w:name="_Toc162687183"/>
      <w:bookmarkStart w:id="19" w:name="_Toc10336"/>
      <w:bookmarkStart w:id="20" w:name="_Toc298764834"/>
      <w:bookmarkStart w:id="21" w:name="_Toc261593725"/>
      <w:bookmarkStart w:id="22" w:name="_Toc317520058"/>
      <w:bookmarkStart w:id="23" w:name="_Toc184635055"/>
      <w:bookmarkStart w:id="24" w:name="_Toc280975847"/>
      <w:bookmarkStart w:id="25" w:name="_Toc309058762"/>
      <w:r>
        <w:rPr>
          <w:rFonts w:hAnsi="宋体"/>
          <w:color w:val="000000" w:themeColor="text1"/>
          <w:spacing w:val="1"/>
          <w:sz w:val="32"/>
          <w:szCs w:val="32"/>
          <w:highlight w:val="none"/>
          <w14:textFill>
            <w14:solidFill>
              <w14:schemeClr w14:val="tx1"/>
            </w14:solidFill>
          </w14:textFill>
        </w:rPr>
        <w:t>2.1</w:t>
      </w:r>
      <w:r>
        <w:rPr>
          <w:rFonts w:hAnsi="宋体"/>
          <w:color w:val="000000" w:themeColor="text1"/>
          <w:spacing w:val="1"/>
          <w:sz w:val="32"/>
          <w:szCs w:val="32"/>
          <w:highlight w:val="none"/>
          <w:lang w:eastAsia="zh-Hans"/>
          <w14:textFill>
            <w14:solidFill>
              <w14:schemeClr w14:val="tx1"/>
            </w14:solidFill>
          </w14:textFill>
        </w:rPr>
        <w:t>公司概况</w:t>
      </w:r>
      <w:r>
        <w:rPr>
          <w:rFonts w:hAnsi="宋体"/>
          <w:color w:val="000000" w:themeColor="text1"/>
          <w:spacing w:val="1"/>
          <w:sz w:val="32"/>
          <w:szCs w:val="32"/>
          <w:highlight w:val="none"/>
          <w14:textFill>
            <w14:solidFill>
              <w14:schemeClr w14:val="tx1"/>
            </w14:solidFill>
          </w14:textFill>
        </w:rPr>
        <w:t>：四川蜀物蓉欧实业有限公司（以下简称公司）隶属四川蜀道物流集团有限公司，是蜀道投资集团有限责任公司全资三级子公司。</w:t>
      </w:r>
      <w:r>
        <w:rPr>
          <w:rFonts w:hint="eastAsia" w:hAnsi="宋体"/>
          <w:color w:val="000000" w:themeColor="text1"/>
          <w:spacing w:val="1"/>
          <w:sz w:val="32"/>
          <w:szCs w:val="32"/>
          <w:highlight w:val="none"/>
          <w14:textFill>
            <w14:solidFill>
              <w14:schemeClr w14:val="tx1"/>
            </w14:solidFill>
          </w14:textFill>
        </w:rPr>
        <w:t>公司通过资源整合，为客户提供物资材料采购、分销、物流等业务板块的供应链集成服务。经营产品主要包括:煤炭及制品、焦炭、金属材料、矿产品、机械设备、木材、木制品、五金交电、电子产品、日用品、农副产品、化工产品、润滑油、食品等。目前，已与近20家国资企业及材料供应公司建立长期合作关系，其中包括中国石油、中国石化、中海石油、四川路桥、四川广安发电有限公司、山东魏桥集团等大型企业，贸易规模</w:t>
      </w:r>
      <w:r>
        <w:rPr>
          <w:rFonts w:hAnsi="宋体"/>
          <w:color w:val="000000" w:themeColor="text1"/>
          <w:spacing w:val="1"/>
          <w:sz w:val="32"/>
          <w:szCs w:val="32"/>
          <w:highlight w:val="none"/>
          <w14:textFill>
            <w14:solidFill>
              <w14:schemeClr w14:val="tx1"/>
            </w14:solidFill>
          </w14:textFill>
        </w:rPr>
        <w:t>达</w:t>
      </w:r>
      <w:r>
        <w:rPr>
          <w:rFonts w:hint="eastAsia" w:hAnsi="宋体"/>
          <w:color w:val="000000" w:themeColor="text1"/>
          <w:spacing w:val="1"/>
          <w:sz w:val="32"/>
          <w:szCs w:val="32"/>
          <w:highlight w:val="none"/>
          <w14:textFill>
            <w14:solidFill>
              <w14:schemeClr w14:val="tx1"/>
            </w14:solidFill>
          </w14:textFill>
        </w:rPr>
        <w:t>80亿元。公司将按照集团公司发展战略定位，</w:t>
      </w:r>
      <w:r>
        <w:rPr>
          <w:rFonts w:hAnsi="宋体"/>
          <w:color w:val="000000" w:themeColor="text1"/>
          <w:spacing w:val="1"/>
          <w:sz w:val="32"/>
          <w:szCs w:val="32"/>
          <w:highlight w:val="none"/>
          <w14:textFill>
            <w14:solidFill>
              <w14:schemeClr w14:val="tx1"/>
            </w14:solidFill>
          </w14:textFill>
        </w:rPr>
        <w:t>着力推进产业链转型升级，着力创新发展路径，着力整合和优化上下游资源，积极开拓集团公司内外部市场，打造成为以物资贸易、生产制造、仓储配</w:t>
      </w:r>
      <w:bookmarkStart w:id="274" w:name="_GoBack"/>
      <w:bookmarkEnd w:id="274"/>
      <w:r>
        <w:rPr>
          <w:rFonts w:hAnsi="宋体"/>
          <w:color w:val="000000" w:themeColor="text1"/>
          <w:spacing w:val="1"/>
          <w:sz w:val="32"/>
          <w:szCs w:val="32"/>
          <w:highlight w:val="none"/>
          <w14:textFill>
            <w14:solidFill>
              <w14:schemeClr w14:val="tx1"/>
            </w14:solidFill>
          </w14:textFill>
        </w:rPr>
        <w:t>送、加工流通、网络平台等为主的多元化业态国内知名企业。</w:t>
      </w:r>
    </w:p>
    <w:p>
      <w:pPr>
        <w:spacing w:line="560" w:lineRule="exact"/>
        <w:ind w:firstLine="644" w:firstLineChars="200"/>
        <w:rPr>
          <w:rFonts w:hAnsi="宋体"/>
          <w:color w:val="000000" w:themeColor="text1"/>
          <w:spacing w:val="1"/>
          <w:sz w:val="32"/>
          <w:szCs w:val="32"/>
          <w:highlight w:val="none"/>
          <w14:textFill>
            <w14:solidFill>
              <w14:schemeClr w14:val="tx1"/>
            </w14:solidFill>
          </w14:textFill>
        </w:rPr>
      </w:pPr>
      <w:r>
        <w:rPr>
          <w:rFonts w:hAnsi="宋体"/>
          <w:color w:val="000000" w:themeColor="text1"/>
          <w:spacing w:val="1"/>
          <w:sz w:val="32"/>
          <w:szCs w:val="32"/>
          <w:highlight w:val="none"/>
          <w14:textFill>
            <w14:solidFill>
              <w14:schemeClr w14:val="tx1"/>
            </w14:solidFill>
          </w14:textFill>
        </w:rPr>
        <w:t>2.2比选项目名称：</w:t>
      </w:r>
      <w:bookmarkEnd w:id="10"/>
      <w:bookmarkEnd w:id="11"/>
      <w:bookmarkEnd w:id="12"/>
      <w:bookmarkEnd w:id="13"/>
      <w:bookmarkEnd w:id="14"/>
      <w:bookmarkEnd w:id="15"/>
      <w:bookmarkEnd w:id="16"/>
      <w:bookmarkEnd w:id="17"/>
      <w:bookmarkEnd w:id="18"/>
      <w:bookmarkEnd w:id="19"/>
      <w:bookmarkEnd w:id="20"/>
      <w:bookmarkStart w:id="26" w:name="_Toc298764835"/>
      <w:bookmarkStart w:id="27" w:name="_Toc298764494"/>
      <w:bookmarkStart w:id="28" w:name="_Toc298781672"/>
      <w:bookmarkStart w:id="29" w:name="_Toc298764775"/>
      <w:r>
        <w:rPr>
          <w:rFonts w:hint="eastAsia" w:hAnsi="宋体"/>
          <w:color w:val="000000" w:themeColor="text1"/>
          <w:spacing w:val="1"/>
          <w:sz w:val="32"/>
          <w:szCs w:val="32"/>
          <w:highlight w:val="none"/>
          <w14:textFill>
            <w14:solidFill>
              <w14:schemeClr w14:val="tx1"/>
            </w14:solidFill>
          </w14:textFill>
        </w:rPr>
        <w:t>四川</w:t>
      </w:r>
      <w:r>
        <w:rPr>
          <w:rFonts w:hAnsi="宋体"/>
          <w:color w:val="000000" w:themeColor="text1"/>
          <w:spacing w:val="1"/>
          <w:sz w:val="32"/>
          <w:szCs w:val="32"/>
          <w:highlight w:val="none"/>
          <w14:textFill>
            <w14:solidFill>
              <w14:schemeClr w14:val="tx1"/>
            </w14:solidFill>
          </w14:textFill>
        </w:rPr>
        <w:t>蜀物蓉欧实业</w:t>
      </w:r>
      <w:r>
        <w:rPr>
          <w:rFonts w:hint="eastAsia" w:hAnsi="宋体"/>
          <w:color w:val="000000" w:themeColor="text1"/>
          <w:spacing w:val="1"/>
          <w:sz w:val="32"/>
          <w:szCs w:val="32"/>
          <w:highlight w:val="none"/>
          <w14:textFill>
            <w14:solidFill>
              <w14:schemeClr w14:val="tx1"/>
            </w14:solidFill>
          </w14:textFill>
        </w:rPr>
        <w:t>有限公司人力资源服务中介机构选聘项目</w:t>
      </w:r>
      <w:r>
        <w:rPr>
          <w:rFonts w:hAnsi="宋体"/>
          <w:color w:val="000000" w:themeColor="text1"/>
          <w:spacing w:val="1"/>
          <w:sz w:val="32"/>
          <w:szCs w:val="32"/>
          <w:highlight w:val="none"/>
          <w14:textFill>
            <w14:solidFill>
              <w14:schemeClr w14:val="tx1"/>
            </w14:solidFill>
          </w14:textFill>
        </w:rPr>
        <w:t>。</w:t>
      </w:r>
      <w:bookmarkEnd w:id="26"/>
      <w:bookmarkEnd w:id="27"/>
      <w:bookmarkEnd w:id="28"/>
      <w:bookmarkEnd w:id="29"/>
    </w:p>
    <w:p>
      <w:pPr>
        <w:spacing w:line="560" w:lineRule="exact"/>
        <w:ind w:firstLine="644" w:firstLineChars="200"/>
        <w:rPr>
          <w:rFonts w:hAnsi="宋体"/>
          <w:color w:val="000000" w:themeColor="text1"/>
          <w:spacing w:val="1"/>
          <w:sz w:val="32"/>
          <w:szCs w:val="32"/>
          <w:highlight w:val="none"/>
          <w14:textFill>
            <w14:solidFill>
              <w14:schemeClr w14:val="tx1"/>
            </w14:solidFill>
          </w14:textFill>
        </w:rPr>
      </w:pPr>
      <w:r>
        <w:rPr>
          <w:rFonts w:hAnsi="宋体"/>
          <w:color w:val="000000" w:themeColor="text1"/>
          <w:spacing w:val="1"/>
          <w:sz w:val="32"/>
          <w:szCs w:val="32"/>
          <w:highlight w:val="none"/>
          <w14:textFill>
            <w14:solidFill>
              <w14:schemeClr w14:val="tx1"/>
            </w14:solidFill>
          </w14:textFill>
        </w:rPr>
        <w:t>2.3服务周期：从合同签订之日起算，完成项目约定工作内容为止，暂定</w:t>
      </w:r>
      <w:r>
        <w:rPr>
          <w:rFonts w:hint="eastAsia" w:hAnsi="宋体"/>
          <w:color w:val="000000" w:themeColor="text1"/>
          <w:spacing w:val="1"/>
          <w:sz w:val="32"/>
          <w:szCs w:val="32"/>
          <w:highlight w:val="none"/>
          <w:lang w:val="en-US" w:eastAsia="zh-CN"/>
          <w14:textFill>
            <w14:solidFill>
              <w14:schemeClr w14:val="tx1"/>
            </w14:solidFill>
          </w14:textFill>
        </w:rPr>
        <w:t>4</w:t>
      </w:r>
      <w:r>
        <w:rPr>
          <w:rFonts w:hAnsi="宋体"/>
          <w:color w:val="000000" w:themeColor="text1"/>
          <w:spacing w:val="1"/>
          <w:sz w:val="32"/>
          <w:szCs w:val="32"/>
          <w:highlight w:val="none"/>
          <w14:textFill>
            <w14:solidFill>
              <w14:schemeClr w14:val="tx1"/>
            </w14:solidFill>
          </w14:textFill>
        </w:rPr>
        <w:t xml:space="preserve">个月，最终以合同约定为准。 </w:t>
      </w:r>
    </w:p>
    <w:p>
      <w:pPr>
        <w:spacing w:line="560" w:lineRule="exact"/>
        <w:ind w:firstLine="644" w:firstLineChars="200"/>
        <w:rPr>
          <w:rFonts w:hAnsi="宋体"/>
          <w:spacing w:val="1"/>
          <w:sz w:val="32"/>
          <w:szCs w:val="32"/>
          <w:highlight w:val="none"/>
        </w:rPr>
      </w:pPr>
      <w:r>
        <w:rPr>
          <w:rFonts w:hAnsi="宋体"/>
          <w:spacing w:val="1"/>
          <w:sz w:val="32"/>
          <w:szCs w:val="32"/>
          <w:highlight w:val="none"/>
        </w:rPr>
        <w:t>2.4比选内容：</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（1）根据公司现有组织架构与岗位设置情况，开展公司各岗位任职资格体系设计，分解部门职责，编写岗位说明书；</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（2）建立岗位价值体系，完成岗位价值评估，落实岗位价值差异；</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（3）建立公司内部员工职业发展通道体系，畅通员工内部职业发展；</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（4）根据公司业务发展定位，结合蜀道物流集团工资总额与内部分配管理相关规定，优化完成员工薪酬体系建设，建立差异化工资结构和工资水平体系，实施工资套改；</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（5）完成公司绩效体系建设，建立定性与定量相结合的绩效体系，差异化设计业务端岗位和非业务端岗位、业务部门内部的考核分配模型，实现业绩贡献与薪酬的有效联动；</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（6）根据蜀道集团、蜀道物流集团企业负责人薪酬和考核相关规定，结合公司实际，制定公司领导班子成员薪酬与考核管理办法；</w:t>
      </w:r>
    </w:p>
    <w:p>
      <w:pPr>
        <w:spacing w:line="560" w:lineRule="exact"/>
        <w:ind w:firstLine="640" w:firstLineChars="200"/>
        <w:rPr>
          <w:rFonts w:hAnsi="宋体"/>
          <w:sz w:val="32"/>
          <w:szCs w:val="32"/>
          <w:highlight w:val="none"/>
          <w:lang w:bidi="he-IL"/>
        </w:rPr>
      </w:pPr>
      <w:r>
        <w:rPr>
          <w:rFonts w:hint="eastAsia" w:hAnsi="宋体"/>
          <w:sz w:val="32"/>
          <w:szCs w:val="32"/>
          <w:highlight w:val="none"/>
          <w:lang w:bidi="he-IL"/>
        </w:rPr>
        <w:t>（7）辅导薪酬绩效体系落地执行，</w:t>
      </w:r>
      <w:r>
        <w:rPr>
          <w:rFonts w:hint="eastAsia" w:hAnsi="宋体"/>
          <w:sz w:val="32"/>
          <w:szCs w:val="32"/>
          <w:highlight w:val="none"/>
          <w:lang w:val="en-US" w:eastAsia="zh-CN" w:bidi="he-IL"/>
        </w:rPr>
        <w:t>开展相应培训，</w:t>
      </w:r>
      <w:r>
        <w:rPr>
          <w:rFonts w:hint="eastAsia" w:hAnsi="宋体"/>
          <w:sz w:val="32"/>
          <w:szCs w:val="32"/>
          <w:highlight w:val="none"/>
          <w:lang w:bidi="he-IL"/>
        </w:rPr>
        <w:t>并根据体系落地情况进行适应性调整。</w:t>
      </w:r>
    </w:p>
    <w:p>
      <w:pPr>
        <w:pStyle w:val="5"/>
        <w:spacing w:line="560" w:lineRule="exact"/>
        <w:ind w:firstLine="643" w:firstLineChars="200"/>
        <w:rPr>
          <w:rFonts w:ascii="宋体" w:hAnsi="宋体"/>
          <w:szCs w:val="32"/>
          <w:highlight w:val="none"/>
        </w:rPr>
      </w:pPr>
      <w:r>
        <w:rPr>
          <w:rFonts w:ascii="宋体" w:hAnsi="宋体"/>
          <w:szCs w:val="32"/>
          <w:highlight w:val="none"/>
        </w:rPr>
        <w:t>3.比选申请人资格要求</w:t>
      </w:r>
      <w:bookmarkEnd w:id="21"/>
      <w:bookmarkEnd w:id="22"/>
      <w:bookmarkEnd w:id="23"/>
      <w:bookmarkEnd w:id="24"/>
      <w:bookmarkEnd w:id="25"/>
    </w:p>
    <w:p>
      <w:pPr>
        <w:spacing w:line="560" w:lineRule="exact"/>
        <w:ind w:firstLine="640" w:firstLineChars="200"/>
        <w:rPr>
          <w:rFonts w:hAnsi="宋体"/>
          <w:bCs w:val="0"/>
          <w:sz w:val="32"/>
          <w:szCs w:val="32"/>
          <w:highlight w:val="none"/>
        </w:rPr>
      </w:pPr>
      <w:r>
        <w:rPr>
          <w:rFonts w:hAnsi="宋体"/>
          <w:bCs w:val="0"/>
          <w:sz w:val="32"/>
          <w:szCs w:val="32"/>
          <w:highlight w:val="none"/>
        </w:rPr>
        <w:t>3.1</w:t>
      </w:r>
      <w:r>
        <w:rPr>
          <w:rFonts w:hint="default" w:ascii="宋体" w:hAnsi="宋体" w:eastAsia="宋体" w:cs="Times New Roman"/>
          <w:sz w:val="32"/>
          <w:szCs w:val="32"/>
          <w:highlight w:val="none"/>
        </w:rPr>
        <w:t>依法设立，具有</w:t>
      </w:r>
      <w:r>
        <w:rPr>
          <w:rFonts w:hint="eastAsia" w:hAnsi="宋体" w:cs="Times New Roman"/>
          <w:sz w:val="32"/>
          <w:szCs w:val="32"/>
          <w:highlight w:val="none"/>
          <w:lang w:val="en-US" w:eastAsia="zh-CN"/>
        </w:rPr>
        <w:t>企业管理咨询</w:t>
      </w:r>
      <w:r>
        <w:rPr>
          <w:rFonts w:hint="default" w:ascii="宋体" w:hAnsi="宋体" w:eastAsia="宋体" w:cs="Times New Roman"/>
          <w:sz w:val="32"/>
          <w:szCs w:val="32"/>
          <w:highlight w:val="none"/>
        </w:rPr>
        <w:t>相应执业资质；</w:t>
      </w:r>
    </w:p>
    <w:p>
      <w:pPr>
        <w:spacing w:line="560" w:lineRule="exact"/>
        <w:ind w:firstLine="640" w:firstLineChars="200"/>
        <w:rPr>
          <w:rFonts w:hAnsi="宋体"/>
          <w:bCs w:val="0"/>
          <w:sz w:val="32"/>
          <w:szCs w:val="32"/>
          <w:highlight w:val="none"/>
        </w:rPr>
      </w:pPr>
      <w:r>
        <w:rPr>
          <w:rFonts w:hAnsi="宋体"/>
          <w:bCs w:val="0"/>
          <w:sz w:val="32"/>
          <w:szCs w:val="32"/>
          <w:highlight w:val="none"/>
        </w:rPr>
        <w:t>3.2</w:t>
      </w:r>
      <w:r>
        <w:rPr>
          <w:rFonts w:hint="default" w:ascii="宋体" w:hAnsi="宋体" w:eastAsia="宋体" w:cs="Times New Roman"/>
          <w:sz w:val="32"/>
          <w:szCs w:val="32"/>
          <w:highlight w:val="none"/>
        </w:rPr>
        <w:t>合法经营、依法执业，遵守法律法规、职业道德和执业准则，有良好社会信誉；</w:t>
      </w:r>
    </w:p>
    <w:p>
      <w:pPr>
        <w:spacing w:line="560" w:lineRule="exact"/>
        <w:ind w:firstLine="640" w:firstLineChars="200"/>
        <w:rPr>
          <w:rFonts w:hAnsi="宋体"/>
          <w:bCs w:val="0"/>
          <w:sz w:val="32"/>
          <w:szCs w:val="32"/>
          <w:highlight w:val="none"/>
        </w:rPr>
      </w:pPr>
      <w:r>
        <w:rPr>
          <w:rFonts w:hAnsi="宋体"/>
          <w:bCs w:val="0"/>
          <w:sz w:val="32"/>
          <w:szCs w:val="32"/>
          <w:highlight w:val="none"/>
        </w:rPr>
        <w:t>3.3</w:t>
      </w:r>
      <w:r>
        <w:rPr>
          <w:rFonts w:hint="default" w:ascii="宋体" w:hAnsi="宋体" w:eastAsia="宋体" w:cs="Times New Roman"/>
          <w:sz w:val="32"/>
          <w:szCs w:val="32"/>
          <w:highlight w:val="none"/>
        </w:rPr>
        <w:t>按规定通过了有关部门的年度检验；</w:t>
      </w:r>
    </w:p>
    <w:p>
      <w:pPr>
        <w:spacing w:line="560" w:lineRule="exact"/>
        <w:ind w:firstLine="640" w:firstLineChars="200"/>
        <w:rPr>
          <w:rStyle w:val="18"/>
          <w:rFonts w:ascii="宋体" w:hAnsi="宋体"/>
          <w:kern w:val="0"/>
          <w:sz w:val="32"/>
          <w:szCs w:val="32"/>
          <w:highlight w:val="none"/>
        </w:rPr>
      </w:pPr>
      <w:r>
        <w:rPr>
          <w:rFonts w:hAnsi="宋体"/>
          <w:bCs w:val="0"/>
          <w:sz w:val="32"/>
          <w:szCs w:val="32"/>
          <w:highlight w:val="none"/>
        </w:rPr>
        <w:t>3.4</w:t>
      </w:r>
      <w:r>
        <w:rPr>
          <w:rFonts w:hint="default" w:ascii="宋体" w:hAnsi="宋体" w:eastAsia="宋体" w:cs="Times New Roman"/>
          <w:sz w:val="32"/>
          <w:szCs w:val="32"/>
          <w:highlight w:val="none"/>
        </w:rPr>
        <w:t>近三年提供的中介服务未因重大执业质量等问题受到省国资委通报；</w:t>
      </w:r>
    </w:p>
    <w:p>
      <w:pPr>
        <w:pStyle w:val="2"/>
        <w:ind w:firstLine="640" w:firstLineChars="200"/>
        <w:rPr>
          <w:rFonts w:hint="default" w:ascii="宋体" w:hAnsi="宋体" w:eastAsia="宋体" w:cs="Times New Roman"/>
          <w:kern w:val="0"/>
          <w:sz w:val="32"/>
          <w:szCs w:val="32"/>
          <w:highlight w:val="none"/>
        </w:rPr>
      </w:pPr>
      <w:r>
        <w:rPr>
          <w:rFonts w:hint="default" w:ascii="宋体" w:hAnsi="宋体" w:eastAsia="宋体" w:cs="Times New Roman"/>
          <w:kern w:val="0"/>
          <w:sz w:val="32"/>
          <w:szCs w:val="32"/>
          <w:highlight w:val="none"/>
          <w:lang w:val="en-US" w:eastAsia="zh-CN"/>
        </w:rPr>
        <w:t>3.</w:t>
      </w:r>
      <w:r>
        <w:rPr>
          <w:rFonts w:hint="eastAsia" w:ascii="宋体" w:hAnsi="宋体" w:cs="Times New Roman"/>
          <w:kern w:val="0"/>
          <w:sz w:val="32"/>
          <w:szCs w:val="32"/>
          <w:highlight w:val="none"/>
          <w:lang w:val="en-US" w:eastAsia="zh-CN"/>
        </w:rPr>
        <w:t>5有类似过往项目业绩，且服务对象</w:t>
      </w:r>
      <w:r>
        <w:rPr>
          <w:rFonts w:hint="eastAsia" w:hAnsi="宋体"/>
          <w:bCs/>
          <w:sz w:val="32"/>
          <w:szCs w:val="32"/>
          <w:highlight w:val="none"/>
          <w:lang w:val="en-US" w:eastAsia="zh-CN"/>
        </w:rPr>
        <w:t>企业类型为市场化贸易类企业</w:t>
      </w:r>
      <w:r>
        <w:rPr>
          <w:rFonts w:hint="default" w:ascii="宋体" w:hAnsi="宋体" w:eastAsia="宋体" w:cs="Times New Roman"/>
          <w:kern w:val="0"/>
          <w:sz w:val="32"/>
          <w:szCs w:val="32"/>
          <w:highlight w:val="none"/>
        </w:rPr>
        <w:t>。</w:t>
      </w:r>
    </w:p>
    <w:p>
      <w:pPr>
        <w:pStyle w:val="2"/>
        <w:ind w:firstLine="640" w:firstLineChars="200"/>
        <w:rPr>
          <w:rFonts w:hint="default" w:eastAsia="宋体"/>
          <w:highlight w:val="none"/>
          <w:lang w:val="en-US" w:eastAsia="zh-CN"/>
        </w:rPr>
      </w:pPr>
      <w:r>
        <w:rPr>
          <w:rFonts w:hint="eastAsia" w:ascii="宋体" w:hAnsi="宋体"/>
          <w:kern w:val="0"/>
          <w:sz w:val="32"/>
          <w:szCs w:val="32"/>
          <w:highlight w:val="none"/>
          <w:lang w:val="en-US" w:eastAsia="zh-CN"/>
        </w:rPr>
        <w:t>3.6</w:t>
      </w:r>
      <w:r>
        <w:rPr>
          <w:rFonts w:hint="eastAsia" w:ascii="宋体" w:hAnsi="宋体" w:eastAsia="宋体" w:cs="Times New Roman"/>
          <w:kern w:val="0"/>
          <w:sz w:val="32"/>
          <w:szCs w:val="32"/>
          <w:highlight w:val="none"/>
        </w:rPr>
        <w:t>不存在</w:t>
      </w:r>
      <w:r>
        <w:rPr>
          <w:rFonts w:hint="eastAsia" w:ascii="宋体" w:hAnsi="宋体" w:cs="Times New Roman"/>
          <w:kern w:val="0"/>
          <w:sz w:val="32"/>
          <w:szCs w:val="32"/>
          <w:highlight w:val="none"/>
          <w:lang w:eastAsia="zh-CN"/>
        </w:rPr>
        <w:t>《四川省国资委及出资企业中介机构选聘管理试行办法》</w:t>
      </w:r>
      <w:r>
        <w:rPr>
          <w:rFonts w:hint="eastAsia" w:ascii="宋体" w:hAnsi="宋体" w:eastAsia="宋体" w:cs="Times New Roman"/>
          <w:kern w:val="0"/>
          <w:sz w:val="32"/>
          <w:szCs w:val="32"/>
          <w:highlight w:val="none"/>
        </w:rPr>
        <w:t>第二十八条情形</w:t>
      </w:r>
      <w:r>
        <w:rPr>
          <w:rFonts w:hint="eastAsia" w:ascii="宋体" w:hAnsi="宋体" w:cs="Times New Roman"/>
          <w:kern w:val="0"/>
          <w:sz w:val="32"/>
          <w:szCs w:val="32"/>
          <w:highlight w:val="none"/>
          <w:lang w:eastAsia="zh-CN"/>
        </w:rPr>
        <w:t>。</w:t>
      </w:r>
    </w:p>
    <w:p>
      <w:pPr>
        <w:pStyle w:val="5"/>
        <w:spacing w:line="560" w:lineRule="exact"/>
        <w:ind w:firstLine="643" w:firstLineChars="200"/>
        <w:rPr>
          <w:rFonts w:ascii="宋体" w:hAnsi="宋体"/>
          <w:szCs w:val="32"/>
          <w:highlight w:val="none"/>
        </w:rPr>
      </w:pPr>
      <w:bookmarkStart w:id="30" w:name="_Toc309058763"/>
      <w:bookmarkStart w:id="31" w:name="_Toc317520059"/>
      <w:r>
        <w:rPr>
          <w:rFonts w:ascii="宋体" w:hAnsi="宋体"/>
          <w:szCs w:val="32"/>
          <w:highlight w:val="none"/>
        </w:rPr>
        <w:t>4</w:t>
      </w:r>
      <w:r>
        <w:rPr>
          <w:rFonts w:hint="eastAsia" w:ascii="宋体" w:hAnsi="宋体"/>
          <w:szCs w:val="32"/>
          <w:highlight w:val="none"/>
        </w:rPr>
        <w:t>．</w:t>
      </w:r>
      <w:r>
        <w:rPr>
          <w:rFonts w:ascii="宋体" w:hAnsi="宋体"/>
          <w:szCs w:val="32"/>
          <w:highlight w:val="none"/>
        </w:rPr>
        <w:t>比选文件的获取</w:t>
      </w:r>
      <w:bookmarkEnd w:id="30"/>
      <w:bookmarkEnd w:id="31"/>
    </w:p>
    <w:p>
      <w:pPr>
        <w:pStyle w:val="6"/>
        <w:ind w:firstLine="640" w:firstLineChars="200"/>
        <w:rPr>
          <w:rFonts w:ascii="宋体" w:hAnsi="宋体"/>
          <w:b w:val="0"/>
          <w:kern w:val="0"/>
          <w:sz w:val="32"/>
          <w:szCs w:val="32"/>
          <w:highlight w:val="none"/>
        </w:rPr>
      </w:pPr>
      <w:bookmarkStart w:id="32" w:name="_Toc317520062"/>
      <w:bookmarkStart w:id="33" w:name="_Toc309058766"/>
      <w:r>
        <w:rPr>
          <w:rFonts w:ascii="宋体" w:hAnsi="宋体"/>
          <w:b w:val="0"/>
          <w:kern w:val="0"/>
          <w:sz w:val="32"/>
          <w:szCs w:val="32"/>
          <w:highlight w:val="none"/>
        </w:rPr>
        <w:t>4.1获取时间：202</w:t>
      </w:r>
      <w:r>
        <w:rPr>
          <w:rFonts w:hint="eastAsia" w:ascii="宋体" w:hAnsi="宋体"/>
          <w:b w:val="0"/>
          <w:kern w:val="0"/>
          <w:sz w:val="32"/>
          <w:szCs w:val="32"/>
          <w:highlight w:val="none"/>
        </w:rPr>
        <w:t>4</w:t>
      </w:r>
      <w:r>
        <w:rPr>
          <w:rFonts w:ascii="宋体" w:hAnsi="宋体"/>
          <w:b w:val="0"/>
          <w:kern w:val="0"/>
          <w:sz w:val="32"/>
          <w:szCs w:val="32"/>
          <w:highlight w:val="none"/>
        </w:rPr>
        <w:t>年</w:t>
      </w:r>
      <w:r>
        <w:rPr>
          <w:rFonts w:ascii="宋体" w:hAnsi="宋体"/>
          <w:b w:val="0"/>
          <w:kern w:val="0"/>
          <w:sz w:val="32"/>
          <w:szCs w:val="32"/>
          <w:highlight w:val="none"/>
          <w:u w:val="single"/>
        </w:rPr>
        <w:t xml:space="preserve"> </w:t>
      </w:r>
      <w:r>
        <w:rPr>
          <w:rFonts w:hint="eastAsia" w:ascii="宋体" w:hAnsi="宋体"/>
          <w:b w:val="0"/>
          <w:kern w:val="0"/>
          <w:sz w:val="32"/>
          <w:szCs w:val="32"/>
          <w:highlight w:val="none"/>
          <w:u w:val="single"/>
          <w:lang w:val="en-US" w:eastAsia="zh-CN"/>
        </w:rPr>
        <w:t>4</w:t>
      </w:r>
      <w:r>
        <w:rPr>
          <w:rFonts w:ascii="宋体" w:hAnsi="宋体"/>
          <w:b w:val="0"/>
          <w:kern w:val="0"/>
          <w:sz w:val="32"/>
          <w:szCs w:val="32"/>
          <w:highlight w:val="none"/>
          <w:u w:val="single"/>
        </w:rPr>
        <w:t xml:space="preserve"> </w:t>
      </w:r>
      <w:r>
        <w:rPr>
          <w:rFonts w:ascii="宋体" w:hAnsi="宋体"/>
          <w:b w:val="0"/>
          <w:kern w:val="0"/>
          <w:sz w:val="32"/>
          <w:szCs w:val="32"/>
          <w:highlight w:val="none"/>
        </w:rPr>
        <w:t>月</w:t>
      </w:r>
      <w:r>
        <w:rPr>
          <w:rFonts w:ascii="宋体" w:hAnsi="宋体"/>
          <w:b w:val="0"/>
          <w:kern w:val="0"/>
          <w:sz w:val="32"/>
          <w:szCs w:val="32"/>
          <w:highlight w:val="none"/>
          <w:u w:val="single"/>
        </w:rPr>
        <w:t xml:space="preserve"> </w:t>
      </w:r>
      <w:r>
        <w:rPr>
          <w:rFonts w:hint="eastAsia" w:ascii="宋体" w:hAnsi="宋体"/>
          <w:b w:val="0"/>
          <w:kern w:val="0"/>
          <w:sz w:val="32"/>
          <w:szCs w:val="32"/>
          <w:highlight w:val="none"/>
          <w:u w:val="single"/>
          <w:lang w:val="en-US" w:eastAsia="zh-CN"/>
        </w:rPr>
        <w:t>1</w:t>
      </w:r>
      <w:r>
        <w:rPr>
          <w:rFonts w:ascii="宋体" w:hAnsi="宋体"/>
          <w:b w:val="0"/>
          <w:kern w:val="0"/>
          <w:sz w:val="32"/>
          <w:szCs w:val="32"/>
          <w:highlight w:val="none"/>
          <w:u w:val="single"/>
        </w:rPr>
        <w:t xml:space="preserve"> </w:t>
      </w:r>
      <w:r>
        <w:rPr>
          <w:rFonts w:ascii="宋体" w:hAnsi="宋体"/>
          <w:b w:val="0"/>
          <w:kern w:val="0"/>
          <w:sz w:val="32"/>
          <w:szCs w:val="32"/>
          <w:highlight w:val="none"/>
        </w:rPr>
        <w:t>日至202</w:t>
      </w:r>
      <w:r>
        <w:rPr>
          <w:rFonts w:hint="eastAsia" w:ascii="宋体" w:hAnsi="宋体"/>
          <w:b w:val="0"/>
          <w:kern w:val="0"/>
          <w:sz w:val="32"/>
          <w:szCs w:val="32"/>
          <w:highlight w:val="none"/>
        </w:rPr>
        <w:t>4</w:t>
      </w:r>
      <w:r>
        <w:rPr>
          <w:rFonts w:ascii="宋体" w:hAnsi="宋体"/>
          <w:b w:val="0"/>
          <w:kern w:val="0"/>
          <w:sz w:val="32"/>
          <w:szCs w:val="32"/>
          <w:highlight w:val="none"/>
        </w:rPr>
        <w:t>年</w:t>
      </w:r>
      <w:r>
        <w:rPr>
          <w:rFonts w:ascii="宋体" w:hAnsi="宋体"/>
          <w:b w:val="0"/>
          <w:kern w:val="0"/>
          <w:sz w:val="32"/>
          <w:szCs w:val="32"/>
          <w:highlight w:val="none"/>
          <w:u w:val="single"/>
        </w:rPr>
        <w:t xml:space="preserve"> </w:t>
      </w:r>
      <w:r>
        <w:rPr>
          <w:rFonts w:hint="eastAsia" w:ascii="宋体" w:hAnsi="宋体"/>
          <w:b w:val="0"/>
          <w:kern w:val="0"/>
          <w:sz w:val="32"/>
          <w:szCs w:val="32"/>
          <w:highlight w:val="none"/>
          <w:u w:val="single"/>
          <w:lang w:val="en-US" w:eastAsia="zh-CN"/>
        </w:rPr>
        <w:t>4</w:t>
      </w:r>
      <w:r>
        <w:rPr>
          <w:rFonts w:ascii="宋体" w:hAnsi="宋体"/>
          <w:b w:val="0"/>
          <w:kern w:val="0"/>
          <w:sz w:val="32"/>
          <w:szCs w:val="32"/>
          <w:highlight w:val="none"/>
          <w:u w:val="single"/>
        </w:rPr>
        <w:t xml:space="preserve"> </w:t>
      </w:r>
      <w:r>
        <w:rPr>
          <w:rFonts w:ascii="宋体" w:hAnsi="宋体"/>
          <w:b w:val="0"/>
          <w:kern w:val="0"/>
          <w:sz w:val="32"/>
          <w:szCs w:val="32"/>
          <w:highlight w:val="none"/>
        </w:rPr>
        <w:t>月</w:t>
      </w:r>
      <w:r>
        <w:rPr>
          <w:rFonts w:ascii="宋体" w:hAnsi="宋体"/>
          <w:b w:val="0"/>
          <w:kern w:val="0"/>
          <w:sz w:val="32"/>
          <w:szCs w:val="32"/>
          <w:highlight w:val="none"/>
          <w:u w:val="single"/>
        </w:rPr>
        <w:t xml:space="preserve"> </w:t>
      </w:r>
      <w:r>
        <w:rPr>
          <w:rFonts w:hint="eastAsia" w:ascii="宋体" w:hAnsi="宋体"/>
          <w:b w:val="0"/>
          <w:kern w:val="0"/>
          <w:sz w:val="32"/>
          <w:szCs w:val="32"/>
          <w:highlight w:val="none"/>
          <w:u w:val="single"/>
          <w:lang w:val="en-US" w:eastAsia="zh-CN"/>
        </w:rPr>
        <w:t>8</w:t>
      </w:r>
      <w:r>
        <w:rPr>
          <w:rFonts w:ascii="宋体" w:hAnsi="宋体"/>
          <w:b w:val="0"/>
          <w:kern w:val="0"/>
          <w:sz w:val="32"/>
          <w:szCs w:val="32"/>
          <w:highlight w:val="none"/>
          <w:u w:val="single"/>
        </w:rPr>
        <w:t xml:space="preserve"> </w:t>
      </w:r>
      <w:r>
        <w:rPr>
          <w:rFonts w:ascii="宋体" w:hAnsi="宋体"/>
          <w:b w:val="0"/>
          <w:kern w:val="0"/>
          <w:sz w:val="32"/>
          <w:szCs w:val="32"/>
          <w:highlight w:val="none"/>
        </w:rPr>
        <w:t>日。</w:t>
      </w:r>
    </w:p>
    <w:p>
      <w:pPr>
        <w:pStyle w:val="6"/>
        <w:ind w:firstLine="640" w:firstLineChars="200"/>
        <w:rPr>
          <w:rFonts w:ascii="宋体" w:hAnsi="宋体"/>
          <w:sz w:val="32"/>
          <w:szCs w:val="32"/>
          <w:highlight w:val="none"/>
          <w:lang w:eastAsia="zh-Hans"/>
        </w:rPr>
      </w:pPr>
      <w:r>
        <w:rPr>
          <w:rFonts w:ascii="宋体" w:hAnsi="宋体"/>
          <w:b w:val="0"/>
          <w:kern w:val="0"/>
          <w:sz w:val="32"/>
          <w:szCs w:val="32"/>
          <w:highlight w:val="none"/>
        </w:rPr>
        <w:t>4</w:t>
      </w:r>
      <w:r>
        <w:rPr>
          <w:rFonts w:ascii="宋体" w:hAnsi="宋体"/>
          <w:b w:val="0"/>
          <w:sz w:val="32"/>
          <w:szCs w:val="32"/>
          <w:highlight w:val="none"/>
        </w:rPr>
        <w:t>.2</w:t>
      </w:r>
      <w:r>
        <w:rPr>
          <w:rFonts w:ascii="宋体" w:hAnsi="宋体"/>
          <w:b w:val="0"/>
          <w:kern w:val="0"/>
          <w:sz w:val="32"/>
          <w:szCs w:val="32"/>
          <w:highlight w:val="none"/>
        </w:rPr>
        <w:t>比选文件的取得：比选申请人应在比选公告期内在</w:t>
      </w:r>
      <w:r>
        <w:rPr>
          <w:rFonts w:hint="eastAsia" w:ascii="宋体" w:hAnsi="宋体"/>
          <w:b w:val="0"/>
          <w:kern w:val="0"/>
          <w:sz w:val="32"/>
          <w:szCs w:val="32"/>
          <w:highlight w:val="none"/>
          <w:u w:val="single"/>
        </w:rPr>
        <w:t>四川蜀道物流集团有限公司官网（https://www.shudaowl.com/）、蜀物智采平台（https://scjt.tabe.cn/）上</w:t>
      </w:r>
      <w:r>
        <w:rPr>
          <w:rFonts w:hint="eastAsia" w:ascii="宋体" w:hAnsi="宋体"/>
          <w:b w:val="0"/>
          <w:kern w:val="0"/>
          <w:sz w:val="32"/>
          <w:szCs w:val="32"/>
          <w:highlight w:val="none"/>
        </w:rPr>
        <w:t>获取</w:t>
      </w:r>
      <w:r>
        <w:rPr>
          <w:rFonts w:ascii="宋体" w:hAnsi="宋体"/>
          <w:b w:val="0"/>
          <w:kern w:val="0"/>
          <w:sz w:val="32"/>
          <w:szCs w:val="32"/>
          <w:highlight w:val="none"/>
        </w:rPr>
        <w:t>比选文件</w:t>
      </w:r>
      <w:r>
        <w:rPr>
          <w:rFonts w:ascii="宋体" w:hAnsi="宋体"/>
          <w:b w:val="0"/>
          <w:kern w:val="0"/>
          <w:sz w:val="32"/>
          <w:szCs w:val="32"/>
          <w:highlight w:val="none"/>
          <w:lang w:eastAsia="zh-Hans"/>
        </w:rPr>
        <w:t>。</w:t>
      </w:r>
    </w:p>
    <w:p>
      <w:pPr>
        <w:pStyle w:val="6"/>
        <w:ind w:firstLine="640" w:firstLineChars="200"/>
        <w:rPr>
          <w:rFonts w:ascii="宋体" w:hAnsi="宋体"/>
          <w:b w:val="0"/>
          <w:sz w:val="32"/>
          <w:szCs w:val="32"/>
          <w:highlight w:val="none"/>
        </w:rPr>
      </w:pPr>
      <w:r>
        <w:rPr>
          <w:rFonts w:ascii="宋体" w:hAnsi="宋体"/>
          <w:b w:val="0"/>
          <w:sz w:val="32"/>
          <w:szCs w:val="32"/>
          <w:highlight w:val="none"/>
        </w:rPr>
        <w:t>4.3</w:t>
      </w:r>
      <w:r>
        <w:rPr>
          <w:rFonts w:hint="eastAsia" w:ascii="宋体" w:hAnsi="宋体"/>
          <w:b w:val="0"/>
          <w:sz w:val="32"/>
          <w:szCs w:val="32"/>
          <w:highlight w:val="none"/>
        </w:rPr>
        <w:t xml:space="preserve"> </w:t>
      </w:r>
      <w:r>
        <w:rPr>
          <w:rFonts w:ascii="宋体" w:hAnsi="宋体"/>
          <w:sz w:val="32"/>
          <w:szCs w:val="32"/>
          <w:highlight w:val="none"/>
        </w:rPr>
        <w:t>比选文件价格：免费领取。</w:t>
      </w:r>
    </w:p>
    <w:p>
      <w:pPr>
        <w:pStyle w:val="6"/>
        <w:ind w:firstLine="640" w:firstLineChars="200"/>
        <w:rPr>
          <w:rFonts w:ascii="宋体" w:hAnsi="宋体"/>
          <w:sz w:val="32"/>
          <w:szCs w:val="32"/>
          <w:highlight w:val="none"/>
        </w:rPr>
      </w:pPr>
      <w:r>
        <w:rPr>
          <w:rFonts w:ascii="宋体" w:hAnsi="宋体"/>
          <w:b w:val="0"/>
          <w:sz w:val="32"/>
          <w:szCs w:val="32"/>
          <w:highlight w:val="none"/>
        </w:rPr>
        <w:t>4.4</w:t>
      </w:r>
      <w:r>
        <w:rPr>
          <w:rFonts w:hint="eastAsia" w:ascii="宋体" w:hAnsi="宋体"/>
          <w:b w:val="0"/>
          <w:sz w:val="32"/>
          <w:szCs w:val="32"/>
          <w:highlight w:val="none"/>
        </w:rPr>
        <w:t xml:space="preserve"> </w:t>
      </w:r>
      <w:r>
        <w:rPr>
          <w:rFonts w:ascii="宋体" w:hAnsi="宋体"/>
          <w:b w:val="0"/>
          <w:sz w:val="32"/>
          <w:szCs w:val="32"/>
          <w:highlight w:val="none"/>
        </w:rPr>
        <w:t>比选人不提供邮购比选文件服务。</w:t>
      </w:r>
    </w:p>
    <w:p>
      <w:pPr>
        <w:pStyle w:val="5"/>
        <w:spacing w:line="560" w:lineRule="exact"/>
        <w:ind w:firstLine="643" w:firstLineChars="200"/>
        <w:rPr>
          <w:rFonts w:ascii="宋体" w:hAnsi="宋体"/>
          <w:szCs w:val="32"/>
          <w:highlight w:val="none"/>
        </w:rPr>
      </w:pPr>
      <w:r>
        <w:rPr>
          <w:rFonts w:ascii="宋体" w:hAnsi="宋体"/>
          <w:szCs w:val="32"/>
          <w:highlight w:val="none"/>
        </w:rPr>
        <w:t>5. 比选申请文件递交截止时间和开标时间</w:t>
      </w:r>
    </w:p>
    <w:p>
      <w:pPr>
        <w:spacing w:line="560" w:lineRule="exact"/>
        <w:ind w:firstLine="640" w:firstLineChars="200"/>
        <w:rPr>
          <w:rFonts w:hAnsi="宋体"/>
          <w:sz w:val="32"/>
          <w:szCs w:val="32"/>
          <w:highlight w:val="none"/>
        </w:rPr>
      </w:pPr>
      <w:r>
        <w:rPr>
          <w:rFonts w:hAnsi="宋体"/>
          <w:sz w:val="32"/>
          <w:szCs w:val="32"/>
          <w:highlight w:val="none"/>
        </w:rPr>
        <w:t>5.1 比选申请文件递交的截止时间（即比选申请截止时间）：</w:t>
      </w:r>
      <w:r>
        <w:rPr>
          <w:rFonts w:hAnsi="宋体"/>
          <w:b/>
          <w:bCs/>
          <w:sz w:val="32"/>
          <w:szCs w:val="32"/>
          <w:highlight w:val="none"/>
          <w:u w:val="single"/>
        </w:rPr>
        <w:t>202</w:t>
      </w:r>
      <w:r>
        <w:rPr>
          <w:rFonts w:hint="eastAsia" w:hAnsi="宋体"/>
          <w:b/>
          <w:bCs/>
          <w:sz w:val="32"/>
          <w:szCs w:val="32"/>
          <w:highlight w:val="none"/>
          <w:u w:val="single"/>
        </w:rPr>
        <w:t>4</w:t>
      </w:r>
      <w:r>
        <w:rPr>
          <w:rFonts w:hAnsi="宋体"/>
          <w:b/>
          <w:bCs/>
          <w:sz w:val="32"/>
          <w:szCs w:val="32"/>
          <w:highlight w:val="none"/>
          <w:u w:val="single"/>
        </w:rPr>
        <w:t>年</w:t>
      </w:r>
      <w:r>
        <w:rPr>
          <w:rFonts w:hint="eastAsia" w:hAnsi="宋体"/>
          <w:b/>
          <w:bCs/>
          <w:sz w:val="32"/>
          <w:szCs w:val="32"/>
          <w:highlight w:val="none"/>
          <w:u w:val="single"/>
        </w:rPr>
        <w:t xml:space="preserve"> </w:t>
      </w:r>
      <w:r>
        <w:rPr>
          <w:rFonts w:hint="eastAsia" w:hAnsi="宋体"/>
          <w:b/>
          <w:bCs/>
          <w:sz w:val="32"/>
          <w:szCs w:val="32"/>
          <w:highlight w:val="none"/>
          <w:u w:val="single"/>
          <w:lang w:val="en-US" w:eastAsia="zh-CN"/>
        </w:rPr>
        <w:t xml:space="preserve"> </w:t>
      </w:r>
      <w:r>
        <w:rPr>
          <w:rFonts w:hint="eastAsia" w:hAnsi="宋体"/>
          <w:b/>
          <w:bCs/>
          <w:sz w:val="32"/>
          <w:szCs w:val="32"/>
          <w:highlight w:val="none"/>
          <w:u w:val="single"/>
          <w:lang w:val="en-US" w:eastAsia="zh-CN"/>
        </w:rPr>
        <w:t>4</w:t>
      </w:r>
      <w:r>
        <w:rPr>
          <w:rFonts w:hint="eastAsia" w:hAnsi="宋体"/>
          <w:b/>
          <w:bCs/>
          <w:sz w:val="32"/>
          <w:szCs w:val="32"/>
          <w:highlight w:val="none"/>
          <w:u w:val="single"/>
          <w:lang w:val="en-US" w:eastAsia="zh-CN"/>
        </w:rPr>
        <w:t xml:space="preserve"> </w:t>
      </w:r>
      <w:r>
        <w:rPr>
          <w:rFonts w:hAnsi="宋体"/>
          <w:b/>
          <w:bCs/>
          <w:sz w:val="32"/>
          <w:szCs w:val="32"/>
          <w:highlight w:val="none"/>
          <w:u w:val="single"/>
        </w:rPr>
        <w:t xml:space="preserve"> 月</w:t>
      </w:r>
      <w:r>
        <w:rPr>
          <w:rFonts w:hint="eastAsia" w:hAnsi="宋体"/>
          <w:b/>
          <w:bCs/>
          <w:sz w:val="32"/>
          <w:szCs w:val="32"/>
          <w:highlight w:val="none"/>
          <w:u w:val="single"/>
        </w:rPr>
        <w:t xml:space="preserve"> </w:t>
      </w:r>
      <w:r>
        <w:rPr>
          <w:rFonts w:hint="eastAsia" w:hAnsi="宋体"/>
          <w:b/>
          <w:bCs/>
          <w:sz w:val="32"/>
          <w:szCs w:val="32"/>
          <w:highlight w:val="none"/>
          <w:u w:val="single"/>
          <w:lang w:val="en-US" w:eastAsia="zh-CN"/>
        </w:rPr>
        <w:t xml:space="preserve"> </w:t>
      </w:r>
      <w:r>
        <w:rPr>
          <w:rFonts w:hint="eastAsia" w:hAnsi="宋体"/>
          <w:b/>
          <w:bCs/>
          <w:sz w:val="32"/>
          <w:szCs w:val="32"/>
          <w:highlight w:val="none"/>
          <w:u w:val="single"/>
          <w:lang w:val="en-US" w:eastAsia="zh-CN"/>
        </w:rPr>
        <w:t>9</w:t>
      </w:r>
      <w:r>
        <w:rPr>
          <w:rFonts w:hAnsi="宋体"/>
          <w:b/>
          <w:bCs/>
          <w:sz w:val="32"/>
          <w:szCs w:val="32"/>
          <w:highlight w:val="none"/>
          <w:u w:val="single"/>
        </w:rPr>
        <w:t xml:space="preserve"> 日</w:t>
      </w:r>
      <w:r>
        <w:rPr>
          <w:rFonts w:hint="eastAsia" w:hAnsi="宋体"/>
          <w:b/>
          <w:bCs/>
          <w:sz w:val="32"/>
          <w:szCs w:val="32"/>
          <w:highlight w:val="none"/>
          <w:u w:val="single"/>
          <w:lang w:val="en-US" w:eastAsia="zh-CN"/>
        </w:rPr>
        <w:t>早上</w:t>
      </w:r>
      <w:r>
        <w:rPr>
          <w:rFonts w:hint="eastAsia" w:hAnsi="宋体"/>
          <w:b/>
          <w:bCs/>
          <w:sz w:val="32"/>
          <w:szCs w:val="32"/>
          <w:highlight w:val="none"/>
          <w:u w:val="single"/>
          <w:lang w:eastAsia="zh-CN"/>
        </w:rPr>
        <w:t>1</w:t>
      </w:r>
      <w:r>
        <w:rPr>
          <w:rFonts w:hint="eastAsia" w:hAnsi="宋体"/>
          <w:b/>
          <w:bCs/>
          <w:sz w:val="32"/>
          <w:szCs w:val="32"/>
          <w:highlight w:val="none"/>
          <w:u w:val="single"/>
          <w:lang w:val="en-US" w:eastAsia="zh-CN"/>
        </w:rPr>
        <w:t>0</w:t>
      </w:r>
      <w:r>
        <w:rPr>
          <w:rFonts w:hAnsi="宋体"/>
          <w:b/>
          <w:bCs/>
          <w:sz w:val="32"/>
          <w:szCs w:val="32"/>
          <w:highlight w:val="none"/>
          <w:u w:val="single"/>
        </w:rPr>
        <w:t>：</w:t>
      </w:r>
      <w:r>
        <w:rPr>
          <w:rFonts w:hint="eastAsia" w:hAnsi="宋体"/>
          <w:b/>
          <w:bCs/>
          <w:sz w:val="32"/>
          <w:szCs w:val="32"/>
          <w:highlight w:val="none"/>
          <w:u w:val="single"/>
          <w:lang w:eastAsia="zh-CN"/>
        </w:rPr>
        <w:t>0</w:t>
      </w:r>
      <w:r>
        <w:rPr>
          <w:rFonts w:hint="eastAsia" w:hAnsi="宋体"/>
          <w:b/>
          <w:bCs/>
          <w:sz w:val="32"/>
          <w:szCs w:val="32"/>
          <w:highlight w:val="none"/>
          <w:u w:val="single"/>
          <w:lang w:val="en-US" w:eastAsia="zh-CN"/>
        </w:rPr>
        <w:t>0</w:t>
      </w:r>
      <w:r>
        <w:rPr>
          <w:rFonts w:hAnsi="宋体"/>
          <w:b/>
          <w:bCs/>
          <w:sz w:val="32"/>
          <w:szCs w:val="32"/>
          <w:highlight w:val="none"/>
          <w:u w:val="single"/>
        </w:rPr>
        <w:t>（北京时间）</w:t>
      </w:r>
      <w:r>
        <w:rPr>
          <w:rFonts w:hAnsi="宋体"/>
          <w:sz w:val="32"/>
          <w:szCs w:val="32"/>
          <w:highlight w:val="none"/>
        </w:rPr>
        <w:t>，地点：</w:t>
      </w:r>
      <w:r>
        <w:rPr>
          <w:rFonts w:hint="eastAsia" w:hAnsi="宋体"/>
          <w:sz w:val="32"/>
          <w:szCs w:val="32"/>
          <w:highlight w:val="none"/>
        </w:rPr>
        <w:t>四川蜀物蓉欧实业有限公司</w:t>
      </w:r>
      <w:r>
        <w:rPr>
          <w:rFonts w:hAnsi="宋体"/>
          <w:sz w:val="32"/>
          <w:szCs w:val="32"/>
          <w:highlight w:val="none"/>
        </w:rPr>
        <w:t>（成都市青羊区光华北五路266号2栋</w:t>
      </w:r>
      <w:r>
        <w:rPr>
          <w:rFonts w:hint="eastAsia" w:hAnsi="宋体"/>
          <w:sz w:val="32"/>
          <w:szCs w:val="32"/>
          <w:highlight w:val="none"/>
        </w:rPr>
        <w:t>A座7层</w:t>
      </w:r>
      <w:r>
        <w:rPr>
          <w:rFonts w:hAnsi="宋体"/>
          <w:sz w:val="32"/>
          <w:szCs w:val="32"/>
          <w:highlight w:val="none"/>
        </w:rPr>
        <w:t>）。</w:t>
      </w:r>
    </w:p>
    <w:p>
      <w:pPr>
        <w:spacing w:line="560" w:lineRule="exact"/>
        <w:ind w:firstLine="640" w:firstLineChars="200"/>
        <w:rPr>
          <w:rFonts w:hAnsi="宋体"/>
          <w:sz w:val="32"/>
          <w:szCs w:val="32"/>
          <w:highlight w:val="none"/>
        </w:rPr>
      </w:pPr>
      <w:r>
        <w:rPr>
          <w:rFonts w:hAnsi="宋体"/>
          <w:sz w:val="32"/>
          <w:szCs w:val="32"/>
          <w:highlight w:val="none"/>
        </w:rPr>
        <w:t>5.2</w:t>
      </w:r>
      <w:r>
        <w:rPr>
          <w:rFonts w:hint="eastAsia" w:hAnsi="宋体"/>
          <w:sz w:val="32"/>
          <w:szCs w:val="32"/>
          <w:highlight w:val="none"/>
        </w:rPr>
        <w:t xml:space="preserve"> </w:t>
      </w:r>
      <w:r>
        <w:rPr>
          <w:rFonts w:hAnsi="宋体"/>
          <w:sz w:val="32"/>
          <w:szCs w:val="32"/>
          <w:highlight w:val="none"/>
        </w:rPr>
        <w:t>逾期送达的或者未送达指定地点的比选申请文件，比选人不予受理。</w:t>
      </w:r>
    </w:p>
    <w:p>
      <w:pPr>
        <w:pStyle w:val="5"/>
        <w:spacing w:line="560" w:lineRule="exact"/>
        <w:ind w:firstLine="643" w:firstLineChars="200"/>
        <w:rPr>
          <w:rFonts w:ascii="宋体" w:hAnsi="宋体"/>
          <w:b w:val="0"/>
          <w:bCs/>
          <w:kern w:val="0"/>
          <w:szCs w:val="32"/>
          <w:highlight w:val="none"/>
        </w:rPr>
      </w:pPr>
      <w:r>
        <w:rPr>
          <w:rFonts w:ascii="宋体" w:hAnsi="宋体"/>
          <w:szCs w:val="32"/>
          <w:highlight w:val="none"/>
        </w:rPr>
        <w:t>6.评审地点</w:t>
      </w:r>
    </w:p>
    <w:p>
      <w:pPr>
        <w:spacing w:line="560" w:lineRule="exact"/>
        <w:ind w:firstLine="640" w:firstLineChars="200"/>
        <w:rPr>
          <w:rFonts w:hAnsi="宋体"/>
          <w:sz w:val="32"/>
          <w:szCs w:val="32"/>
          <w:highlight w:val="none"/>
        </w:rPr>
      </w:pPr>
      <w:r>
        <w:rPr>
          <w:rFonts w:hAnsi="宋体"/>
          <w:sz w:val="32"/>
          <w:szCs w:val="32"/>
          <w:highlight w:val="none"/>
        </w:rPr>
        <w:t>6.1</w:t>
      </w:r>
      <w:r>
        <w:rPr>
          <w:rFonts w:hint="eastAsia" w:hAnsi="宋体"/>
          <w:sz w:val="32"/>
          <w:szCs w:val="32"/>
          <w:highlight w:val="none"/>
        </w:rPr>
        <w:t xml:space="preserve"> </w:t>
      </w:r>
      <w:r>
        <w:rPr>
          <w:rFonts w:hAnsi="宋体"/>
          <w:sz w:val="32"/>
          <w:szCs w:val="32"/>
          <w:highlight w:val="none"/>
        </w:rPr>
        <w:t>评审地点：</w:t>
      </w:r>
      <w:r>
        <w:rPr>
          <w:rFonts w:hint="eastAsia" w:hAnsi="宋体"/>
          <w:sz w:val="32"/>
          <w:szCs w:val="32"/>
          <w:highlight w:val="none"/>
        </w:rPr>
        <w:t>四川蜀物蓉欧实业有限公司</w:t>
      </w:r>
      <w:r>
        <w:rPr>
          <w:rFonts w:hAnsi="宋体"/>
          <w:sz w:val="32"/>
          <w:szCs w:val="32"/>
          <w:highlight w:val="none"/>
        </w:rPr>
        <w:t>（地址：成都市青羊区光华北五路266号2栋</w:t>
      </w:r>
      <w:r>
        <w:rPr>
          <w:rFonts w:hint="eastAsia" w:hAnsi="宋体"/>
          <w:sz w:val="32"/>
          <w:szCs w:val="32"/>
          <w:highlight w:val="none"/>
        </w:rPr>
        <w:t>A座7层</w:t>
      </w:r>
      <w:r>
        <w:rPr>
          <w:rFonts w:hAnsi="宋体"/>
          <w:sz w:val="32"/>
          <w:szCs w:val="32"/>
          <w:highlight w:val="none"/>
        </w:rPr>
        <w:t>）。</w:t>
      </w:r>
    </w:p>
    <w:p>
      <w:pPr>
        <w:spacing w:line="560" w:lineRule="exact"/>
        <w:ind w:firstLine="640" w:firstLineChars="200"/>
        <w:rPr>
          <w:rFonts w:hAnsi="宋体"/>
          <w:sz w:val="32"/>
          <w:szCs w:val="32"/>
          <w:highlight w:val="none"/>
        </w:rPr>
      </w:pPr>
      <w:r>
        <w:rPr>
          <w:rFonts w:hAnsi="宋体"/>
          <w:sz w:val="32"/>
          <w:szCs w:val="32"/>
          <w:highlight w:val="none"/>
        </w:rPr>
        <w:t>6.2 评审时间：202</w:t>
      </w:r>
      <w:r>
        <w:rPr>
          <w:rFonts w:hint="eastAsia" w:hAnsi="宋体"/>
          <w:sz w:val="32"/>
          <w:szCs w:val="32"/>
          <w:highlight w:val="none"/>
        </w:rPr>
        <w:t>4</w:t>
      </w:r>
      <w:r>
        <w:rPr>
          <w:rFonts w:hAnsi="宋体"/>
          <w:sz w:val="32"/>
          <w:szCs w:val="32"/>
          <w:highlight w:val="none"/>
        </w:rPr>
        <w:t>年</w:t>
      </w:r>
      <w:r>
        <w:rPr>
          <w:rFonts w:hint="eastAsia" w:hAnsi="宋体"/>
          <w:sz w:val="32"/>
          <w:szCs w:val="32"/>
          <w:highlight w:val="none"/>
          <w:lang w:val="en-US" w:eastAsia="zh-CN"/>
        </w:rPr>
        <w:t>4</w:t>
      </w:r>
      <w:r>
        <w:rPr>
          <w:rFonts w:hAnsi="宋体"/>
          <w:sz w:val="32"/>
          <w:szCs w:val="32"/>
          <w:highlight w:val="none"/>
        </w:rPr>
        <w:t>月</w:t>
      </w:r>
      <w:r>
        <w:rPr>
          <w:rFonts w:hint="eastAsia" w:hAnsi="宋体"/>
          <w:sz w:val="32"/>
          <w:szCs w:val="32"/>
          <w:highlight w:val="none"/>
          <w:lang w:val="en-US" w:eastAsia="zh-CN"/>
        </w:rPr>
        <w:t>9</w:t>
      </w:r>
      <w:r>
        <w:rPr>
          <w:rFonts w:hAnsi="宋体"/>
          <w:sz w:val="32"/>
          <w:szCs w:val="32"/>
          <w:highlight w:val="none"/>
        </w:rPr>
        <w:t>日上午</w:t>
      </w:r>
      <w:r>
        <w:rPr>
          <w:rFonts w:hint="eastAsia" w:hAnsi="宋体"/>
          <w:sz w:val="32"/>
          <w:szCs w:val="32"/>
          <w:highlight w:val="none"/>
          <w:lang w:val="en-US" w:eastAsia="zh-CN"/>
        </w:rPr>
        <w:t>10</w:t>
      </w:r>
      <w:r>
        <w:rPr>
          <w:rFonts w:hAnsi="宋体"/>
          <w:sz w:val="32"/>
          <w:szCs w:val="32"/>
          <w:highlight w:val="none"/>
        </w:rPr>
        <w:t>:00（北京时间）</w:t>
      </w:r>
    </w:p>
    <w:p>
      <w:pPr>
        <w:pStyle w:val="5"/>
        <w:spacing w:line="560" w:lineRule="exact"/>
        <w:ind w:firstLine="643" w:firstLineChars="200"/>
        <w:rPr>
          <w:rFonts w:ascii="宋体" w:hAnsi="宋体"/>
          <w:szCs w:val="32"/>
          <w:highlight w:val="none"/>
        </w:rPr>
      </w:pPr>
      <w:r>
        <w:rPr>
          <w:rFonts w:ascii="宋体" w:hAnsi="宋体"/>
          <w:szCs w:val="32"/>
          <w:highlight w:val="none"/>
        </w:rPr>
        <w:t>7.发布公告的媒介</w:t>
      </w:r>
    </w:p>
    <w:p>
      <w:pPr>
        <w:wordWrap w:val="0"/>
        <w:spacing w:line="560" w:lineRule="exact"/>
        <w:ind w:firstLine="640" w:firstLineChars="200"/>
        <w:jc w:val="left"/>
        <w:rPr>
          <w:rFonts w:hAnsi="宋体"/>
          <w:sz w:val="32"/>
          <w:szCs w:val="32"/>
          <w:highlight w:val="none"/>
        </w:rPr>
      </w:pPr>
      <w:r>
        <w:rPr>
          <w:rFonts w:hAnsi="宋体"/>
          <w:sz w:val="32"/>
          <w:szCs w:val="32"/>
          <w:highlight w:val="none"/>
        </w:rPr>
        <w:t>本次比选公告在</w:t>
      </w:r>
      <w:r>
        <w:rPr>
          <w:rFonts w:hint="eastAsia" w:hAnsi="宋体"/>
          <w:sz w:val="32"/>
          <w:szCs w:val="32"/>
          <w:highlight w:val="none"/>
        </w:rPr>
        <w:t>四川蜀道物流集团有限公司官网（https://www.shudaowl.com/）、蜀物智采平台（https://scjt.tabe.cn/）</w:t>
      </w:r>
      <w:r>
        <w:rPr>
          <w:rFonts w:hAnsi="宋体"/>
          <w:sz w:val="32"/>
          <w:szCs w:val="32"/>
          <w:highlight w:val="none"/>
        </w:rPr>
        <w:t>上发布。</w:t>
      </w:r>
    </w:p>
    <w:p>
      <w:pPr>
        <w:pStyle w:val="5"/>
        <w:spacing w:line="560" w:lineRule="exact"/>
        <w:ind w:firstLine="643" w:firstLineChars="200"/>
        <w:rPr>
          <w:rFonts w:ascii="宋体" w:hAnsi="宋体"/>
          <w:szCs w:val="32"/>
          <w:highlight w:val="none"/>
        </w:rPr>
      </w:pPr>
      <w:r>
        <w:rPr>
          <w:rFonts w:ascii="宋体" w:hAnsi="宋体"/>
          <w:szCs w:val="32"/>
          <w:highlight w:val="none"/>
        </w:rPr>
        <w:t>8.评审方法</w:t>
      </w:r>
    </w:p>
    <w:p>
      <w:pPr>
        <w:spacing w:line="560" w:lineRule="exact"/>
        <w:ind w:firstLine="640" w:firstLineChars="200"/>
        <w:rPr>
          <w:sz w:val="32"/>
          <w:szCs w:val="32"/>
          <w:highlight w:val="none"/>
        </w:rPr>
      </w:pPr>
      <w:r>
        <w:rPr>
          <w:rFonts w:hint="eastAsia"/>
          <w:sz w:val="32"/>
          <w:szCs w:val="32"/>
          <w:highlight w:val="none"/>
        </w:rPr>
        <w:t>本次评审采用综合评估法，详见比选文件第三章《评审办法及评分标准》。</w:t>
      </w:r>
    </w:p>
    <w:p>
      <w:pPr>
        <w:pStyle w:val="5"/>
        <w:spacing w:line="560" w:lineRule="exact"/>
        <w:ind w:firstLine="643" w:firstLineChars="200"/>
        <w:rPr>
          <w:rFonts w:ascii="宋体" w:hAnsi="宋体"/>
          <w:szCs w:val="32"/>
          <w:highlight w:val="none"/>
        </w:rPr>
      </w:pPr>
      <w:r>
        <w:rPr>
          <w:rFonts w:ascii="宋体" w:hAnsi="宋体"/>
          <w:szCs w:val="32"/>
          <w:highlight w:val="none"/>
        </w:rPr>
        <w:t>9.联系方式</w:t>
      </w:r>
      <w:bookmarkEnd w:id="32"/>
      <w:bookmarkEnd w:id="33"/>
    </w:p>
    <w:p>
      <w:pPr>
        <w:spacing w:line="560" w:lineRule="exact"/>
        <w:ind w:firstLine="640" w:firstLineChars="200"/>
        <w:rPr>
          <w:rFonts w:hAnsi="宋体"/>
          <w:sz w:val="32"/>
          <w:szCs w:val="32"/>
          <w:highlight w:val="none"/>
        </w:rPr>
      </w:pPr>
      <w:r>
        <w:rPr>
          <w:rFonts w:hAnsi="宋体"/>
          <w:sz w:val="32"/>
          <w:szCs w:val="32"/>
          <w:highlight w:val="none"/>
        </w:rPr>
        <w:t>比 选 人：</w:t>
      </w:r>
      <w:r>
        <w:rPr>
          <w:rFonts w:hint="eastAsia" w:hAnsi="宋体"/>
          <w:sz w:val="32"/>
          <w:szCs w:val="32"/>
          <w:highlight w:val="none"/>
        </w:rPr>
        <w:t>四川蜀物蓉欧实业有限公司</w:t>
      </w:r>
    </w:p>
    <w:p>
      <w:pPr>
        <w:spacing w:line="560" w:lineRule="exact"/>
        <w:ind w:firstLine="640" w:firstLineChars="200"/>
        <w:jc w:val="left"/>
        <w:rPr>
          <w:rFonts w:hAnsi="宋体"/>
          <w:sz w:val="32"/>
          <w:szCs w:val="32"/>
          <w:highlight w:val="none"/>
        </w:rPr>
      </w:pPr>
      <w:r>
        <w:rPr>
          <w:rFonts w:hAnsi="宋体"/>
          <w:sz w:val="32"/>
          <w:szCs w:val="32"/>
          <w:highlight w:val="none"/>
        </w:rPr>
        <w:t>地    址：成都市青羊区光华北五路266号2栋</w:t>
      </w:r>
      <w:r>
        <w:rPr>
          <w:rFonts w:hint="eastAsia" w:hAnsi="宋体"/>
          <w:sz w:val="32"/>
          <w:szCs w:val="32"/>
          <w:highlight w:val="none"/>
        </w:rPr>
        <w:t>A座7层</w:t>
      </w:r>
    </w:p>
    <w:p>
      <w:pPr>
        <w:spacing w:line="560" w:lineRule="exact"/>
        <w:ind w:firstLine="640" w:firstLineChars="200"/>
        <w:jc w:val="left"/>
        <w:rPr>
          <w:rFonts w:hint="default" w:hAnsi="宋体" w:eastAsia="宋体"/>
          <w:sz w:val="32"/>
          <w:szCs w:val="32"/>
          <w:highlight w:val="none"/>
          <w:lang w:val="en-US" w:eastAsia="zh-CN"/>
        </w:rPr>
      </w:pPr>
      <w:r>
        <w:rPr>
          <w:rFonts w:hAnsi="宋体"/>
          <w:sz w:val="32"/>
          <w:szCs w:val="32"/>
          <w:highlight w:val="none"/>
        </w:rPr>
        <w:t>联 系 人：</w:t>
      </w:r>
      <w:r>
        <w:rPr>
          <w:rFonts w:hint="eastAsia" w:hAnsi="宋体"/>
          <w:sz w:val="32"/>
          <w:szCs w:val="32"/>
          <w:highlight w:val="none"/>
          <w:lang w:val="en-US" w:eastAsia="zh-CN"/>
        </w:rPr>
        <w:t>阳先生</w:t>
      </w:r>
    </w:p>
    <w:p>
      <w:pPr>
        <w:spacing w:line="560" w:lineRule="exact"/>
        <w:ind w:firstLine="640" w:firstLineChars="200"/>
        <w:jc w:val="left"/>
        <w:rPr>
          <w:rFonts w:hint="default" w:eastAsia="宋体"/>
          <w:highlight w:val="none"/>
          <w:lang w:val="en-US" w:eastAsia="zh-CN"/>
        </w:rPr>
      </w:pPr>
      <w:r>
        <w:rPr>
          <w:rFonts w:hAnsi="宋体"/>
          <w:sz w:val="32"/>
          <w:szCs w:val="32"/>
          <w:highlight w:val="none"/>
        </w:rPr>
        <w:t>邮    箱：</w:t>
      </w:r>
      <w:r>
        <w:rPr>
          <w:rFonts w:hint="eastAsia" w:hAnsi="宋体"/>
          <w:sz w:val="32"/>
          <w:szCs w:val="32"/>
          <w:highlight w:val="none"/>
          <w:lang w:val="en-US" w:eastAsia="zh-CN"/>
        </w:rPr>
        <w:t>893676306@qq.com</w:t>
      </w:r>
    </w:p>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p>
    <w:p>
      <w:pPr>
        <w:spacing w:line="560" w:lineRule="exact"/>
        <w:jc w:val="right"/>
        <w:rPr>
          <w:rFonts w:hAnsi="宋体"/>
          <w:sz w:val="32"/>
          <w:szCs w:val="32"/>
          <w:highlight w:val="none"/>
        </w:rPr>
      </w:pPr>
      <w:r>
        <w:rPr>
          <w:rFonts w:hAnsi="宋体"/>
          <w:sz w:val="32"/>
          <w:szCs w:val="32"/>
          <w:highlight w:val="none"/>
        </w:rPr>
        <w:t>比选人：</w:t>
      </w:r>
      <w:r>
        <w:rPr>
          <w:rFonts w:hint="eastAsia" w:hAnsi="宋体"/>
          <w:sz w:val="32"/>
          <w:szCs w:val="32"/>
          <w:highlight w:val="none"/>
        </w:rPr>
        <w:t>四川蜀物蓉欧实业有限公司</w:t>
      </w:r>
    </w:p>
    <w:p>
      <w:pPr>
        <w:wordWrap w:val="0"/>
        <w:spacing w:line="560" w:lineRule="exact"/>
        <w:jc w:val="right"/>
        <w:rPr>
          <w:rFonts w:hAnsi="宋体"/>
          <w:b/>
          <w:sz w:val="32"/>
          <w:szCs w:val="32"/>
          <w:highlight w:val="none"/>
        </w:rPr>
        <w:sectPr>
          <w:pgSz w:w="11906" w:h="16838"/>
          <w:pgMar w:top="1418" w:right="1304" w:bottom="1418" w:left="1701" w:header="851" w:footer="851" w:gutter="0"/>
          <w:cols w:space="720" w:num="1"/>
          <w:docGrid w:linePitch="312" w:charSpace="0"/>
        </w:sectPr>
      </w:pPr>
      <w:r>
        <w:rPr>
          <w:rFonts w:hAnsi="宋体"/>
          <w:sz w:val="32"/>
          <w:szCs w:val="32"/>
          <w:highlight w:val="none"/>
        </w:rPr>
        <w:t xml:space="preserve">                                   202</w:t>
      </w:r>
      <w:r>
        <w:rPr>
          <w:rFonts w:hint="eastAsia" w:hAnsi="宋体"/>
          <w:sz w:val="32"/>
          <w:szCs w:val="32"/>
          <w:highlight w:val="none"/>
        </w:rPr>
        <w:t>4</w:t>
      </w:r>
      <w:r>
        <w:rPr>
          <w:rFonts w:hAnsi="宋体"/>
          <w:sz w:val="32"/>
          <w:szCs w:val="32"/>
          <w:highlight w:val="none"/>
        </w:rPr>
        <w:t>年</w:t>
      </w:r>
      <w:r>
        <w:rPr>
          <w:rFonts w:hint="eastAsia" w:hAnsi="宋体"/>
          <w:sz w:val="32"/>
          <w:szCs w:val="32"/>
          <w:highlight w:val="none"/>
          <w:lang w:val="en-US" w:eastAsia="zh-CN"/>
        </w:rPr>
        <w:t>X</w:t>
      </w:r>
      <w:r>
        <w:rPr>
          <w:rFonts w:hAnsi="宋体"/>
          <w:sz w:val="32"/>
          <w:szCs w:val="32"/>
          <w:highlight w:val="none"/>
        </w:rPr>
        <w:t>月</w:t>
      </w:r>
      <w:bookmarkEnd w:id="9"/>
      <w:r>
        <w:rPr>
          <w:rFonts w:hint="eastAsia" w:hAnsi="宋体"/>
          <w:sz w:val="32"/>
          <w:szCs w:val="32"/>
          <w:highlight w:val="none"/>
          <w:lang w:val="en-US" w:eastAsia="zh-CN"/>
        </w:rPr>
        <w:t>XX</w:t>
      </w:r>
      <w:r>
        <w:rPr>
          <w:rFonts w:hAnsi="宋体"/>
          <w:sz w:val="32"/>
          <w:szCs w:val="32"/>
          <w:highlight w:val="none"/>
        </w:rPr>
        <w:t xml:space="preserve">日      </w:t>
      </w:r>
    </w:p>
    <w:p>
      <w:pPr>
        <w:pStyle w:val="3"/>
        <w:spacing w:line="560" w:lineRule="exact"/>
        <w:jc w:val="center"/>
        <w:rPr>
          <w:rFonts w:ascii="宋体" w:hAnsi="宋体"/>
          <w:highlight w:val="none"/>
        </w:rPr>
      </w:pPr>
      <w:bookmarkStart w:id="34" w:name="_Toc408316983"/>
      <w:bookmarkStart w:id="35" w:name="_Toc475463260"/>
      <w:bookmarkStart w:id="36" w:name="_Toc446487112"/>
      <w:r>
        <w:rPr>
          <w:rFonts w:ascii="宋体" w:hAnsi="宋体"/>
          <w:highlight w:val="none"/>
        </w:rPr>
        <w:t>第二章 比选申请人须知</w:t>
      </w:r>
      <w:bookmarkEnd w:id="8"/>
      <w:bookmarkEnd w:id="34"/>
      <w:bookmarkEnd w:id="35"/>
      <w:bookmarkEnd w:id="36"/>
    </w:p>
    <w:p>
      <w:pPr>
        <w:spacing w:line="560" w:lineRule="exact"/>
        <w:jc w:val="center"/>
        <w:rPr>
          <w:rFonts w:hAnsi="宋体"/>
          <w:highlight w:val="none"/>
        </w:rPr>
      </w:pPr>
      <w:bookmarkStart w:id="37" w:name="_Toc184635070"/>
      <w:bookmarkStart w:id="38" w:name="_Toc408316984"/>
      <w:bookmarkStart w:id="39" w:name="_Toc446487113"/>
      <w:bookmarkStart w:id="40" w:name="_Toc2457"/>
      <w:bookmarkStart w:id="41" w:name="_Toc20842"/>
      <w:bookmarkStart w:id="42" w:name="_Toc2971"/>
      <w:bookmarkStart w:id="43" w:name="_Toc409528448"/>
      <w:bookmarkStart w:id="44" w:name="_Toc261593732"/>
      <w:r>
        <w:rPr>
          <w:rFonts w:hAnsi="宋体"/>
          <w:highlight w:val="none"/>
        </w:rPr>
        <w:t>比选申请人须知前附表</w:t>
      </w:r>
      <w:bookmarkEnd w:id="37"/>
      <w:bookmarkEnd w:id="38"/>
      <w:bookmarkEnd w:id="39"/>
      <w:bookmarkEnd w:id="40"/>
      <w:bookmarkEnd w:id="41"/>
      <w:bookmarkEnd w:id="42"/>
      <w:bookmarkEnd w:id="43"/>
      <w:bookmarkEnd w:id="44"/>
    </w:p>
    <w:tbl>
      <w:tblPr>
        <w:tblStyle w:val="1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689"/>
        <w:gridCol w:w="6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1032" w:type="dxa"/>
            <w:vAlign w:val="center"/>
          </w:tcPr>
          <w:p>
            <w:pPr>
              <w:spacing w:line="400" w:lineRule="exact"/>
              <w:jc w:val="center"/>
              <w:rPr>
                <w:rFonts w:hAnsi="宋体"/>
                <w:b/>
                <w:sz w:val="32"/>
                <w:szCs w:val="32"/>
                <w:highlight w:val="none"/>
              </w:rPr>
            </w:pPr>
            <w:r>
              <w:rPr>
                <w:rFonts w:hAnsi="宋体"/>
                <w:b/>
                <w:sz w:val="32"/>
                <w:szCs w:val="32"/>
                <w:highlight w:val="none"/>
              </w:rPr>
              <w:t>条款号</w:t>
            </w:r>
          </w:p>
        </w:tc>
        <w:tc>
          <w:tcPr>
            <w:tcW w:w="1689" w:type="dxa"/>
            <w:vAlign w:val="center"/>
          </w:tcPr>
          <w:p>
            <w:pPr>
              <w:spacing w:line="400" w:lineRule="exact"/>
              <w:jc w:val="center"/>
              <w:rPr>
                <w:rFonts w:hAnsi="宋体"/>
                <w:b/>
                <w:sz w:val="32"/>
                <w:szCs w:val="32"/>
                <w:highlight w:val="none"/>
              </w:rPr>
            </w:pPr>
            <w:r>
              <w:rPr>
                <w:rFonts w:hAnsi="宋体"/>
                <w:b/>
                <w:sz w:val="32"/>
                <w:szCs w:val="32"/>
                <w:highlight w:val="none"/>
              </w:rPr>
              <w:t>条款名称</w:t>
            </w:r>
          </w:p>
        </w:tc>
        <w:tc>
          <w:tcPr>
            <w:tcW w:w="6351" w:type="dxa"/>
            <w:vAlign w:val="center"/>
          </w:tcPr>
          <w:p>
            <w:pPr>
              <w:spacing w:line="400" w:lineRule="exact"/>
              <w:jc w:val="center"/>
              <w:rPr>
                <w:rFonts w:hAnsi="宋体"/>
                <w:b/>
                <w:sz w:val="32"/>
                <w:szCs w:val="32"/>
                <w:highlight w:val="none"/>
              </w:rPr>
            </w:pPr>
            <w:r>
              <w:rPr>
                <w:rFonts w:hAnsi="宋体"/>
                <w:b/>
                <w:sz w:val="32"/>
                <w:szCs w:val="32"/>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1.1.1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比选人</w:t>
            </w:r>
          </w:p>
        </w:tc>
        <w:tc>
          <w:tcPr>
            <w:tcW w:w="6351" w:type="dxa"/>
            <w:vAlign w:val="center"/>
          </w:tcPr>
          <w:p>
            <w:pPr>
              <w:autoSpaceDE w:val="0"/>
              <w:autoSpaceDN w:val="0"/>
              <w:adjustRightInd w:val="0"/>
              <w:spacing w:line="400" w:lineRule="exact"/>
              <w:rPr>
                <w:rFonts w:hAnsi="宋体"/>
                <w:sz w:val="32"/>
                <w:szCs w:val="32"/>
                <w:highlight w:val="none"/>
              </w:rPr>
            </w:pPr>
            <w:r>
              <w:rPr>
                <w:rFonts w:hAnsi="宋体"/>
                <w:sz w:val="32"/>
                <w:szCs w:val="32"/>
                <w:highlight w:val="none"/>
              </w:rPr>
              <w:t>名  称：详见比选公告</w:t>
            </w:r>
          </w:p>
          <w:p>
            <w:pPr>
              <w:autoSpaceDE w:val="0"/>
              <w:autoSpaceDN w:val="0"/>
              <w:adjustRightInd w:val="0"/>
              <w:spacing w:line="400" w:lineRule="exact"/>
              <w:rPr>
                <w:rFonts w:hAnsi="宋体"/>
                <w:sz w:val="32"/>
                <w:szCs w:val="32"/>
                <w:highlight w:val="none"/>
              </w:rPr>
            </w:pPr>
            <w:r>
              <w:rPr>
                <w:rFonts w:hAnsi="宋体"/>
                <w:sz w:val="32"/>
                <w:szCs w:val="32"/>
                <w:highlight w:val="none"/>
              </w:rPr>
              <w:t>地  址：详见比选公告</w:t>
            </w:r>
          </w:p>
          <w:p>
            <w:pPr>
              <w:autoSpaceDE w:val="0"/>
              <w:autoSpaceDN w:val="0"/>
              <w:adjustRightInd w:val="0"/>
              <w:spacing w:line="400" w:lineRule="exact"/>
              <w:rPr>
                <w:rFonts w:hAnsi="宋体"/>
                <w:sz w:val="32"/>
                <w:szCs w:val="32"/>
                <w:highlight w:val="none"/>
              </w:rPr>
            </w:pPr>
            <w:r>
              <w:rPr>
                <w:rFonts w:hAnsi="宋体"/>
                <w:sz w:val="32"/>
                <w:szCs w:val="32"/>
                <w:highlight w:val="none"/>
              </w:rPr>
              <w:t>联系人：详见比选公告</w:t>
            </w:r>
          </w:p>
          <w:p>
            <w:pPr>
              <w:spacing w:line="400" w:lineRule="exact"/>
              <w:rPr>
                <w:rFonts w:hAnsi="宋体"/>
                <w:sz w:val="32"/>
                <w:szCs w:val="32"/>
                <w:highlight w:val="none"/>
              </w:rPr>
            </w:pPr>
            <w:r>
              <w:rPr>
                <w:rFonts w:hAnsi="宋体"/>
                <w:sz w:val="32"/>
                <w:szCs w:val="32"/>
                <w:highlight w:val="none"/>
              </w:rPr>
              <w:t>电  话：详见比选公告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1.1.2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项目名称</w:t>
            </w:r>
          </w:p>
        </w:tc>
        <w:tc>
          <w:tcPr>
            <w:tcW w:w="6351" w:type="dxa"/>
            <w:vAlign w:val="center"/>
          </w:tcPr>
          <w:p>
            <w:pPr>
              <w:spacing w:line="400" w:lineRule="exact"/>
              <w:rPr>
                <w:rFonts w:hAnsi="宋体"/>
                <w:sz w:val="32"/>
                <w:szCs w:val="32"/>
                <w:highlight w:val="none"/>
              </w:rPr>
            </w:pPr>
            <w:r>
              <w:rPr>
                <w:rFonts w:hint="eastAsia" w:hAnsi="宋体"/>
                <w:sz w:val="32"/>
                <w:szCs w:val="32"/>
                <w:highlight w:val="none"/>
              </w:rPr>
              <w:t>四川蜀物蓉欧实业有限公司人力资源服务中介机构选聘项目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1.1.3</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项目地点</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1.2.1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资金来源</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1.2.2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资金落实情况</w:t>
            </w:r>
          </w:p>
        </w:tc>
        <w:tc>
          <w:tcPr>
            <w:tcW w:w="6351" w:type="dxa"/>
            <w:vAlign w:val="center"/>
          </w:tcPr>
          <w:p>
            <w:pPr>
              <w:spacing w:line="400" w:lineRule="exact"/>
              <w:rPr>
                <w:rFonts w:hAnsi="宋体"/>
                <w:sz w:val="32"/>
                <w:szCs w:val="32"/>
                <w:highlight w:val="none"/>
              </w:rPr>
            </w:pPr>
            <w:r>
              <w:rPr>
                <w:rFonts w:hAnsi="宋体"/>
                <w:sz w:val="32"/>
                <w:szCs w:val="32"/>
                <w:highlight w:val="none"/>
              </w:rPr>
              <w:t>资金已落实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1.3.1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比选范围</w:t>
            </w:r>
          </w:p>
        </w:tc>
        <w:tc>
          <w:tcPr>
            <w:tcW w:w="6351" w:type="dxa"/>
            <w:vAlign w:val="center"/>
          </w:tcPr>
          <w:p>
            <w:pPr>
              <w:spacing w:line="400" w:lineRule="exact"/>
              <w:rPr>
                <w:rFonts w:hAnsi="宋体"/>
                <w:sz w:val="32"/>
                <w:szCs w:val="32"/>
                <w:highlight w:val="none"/>
              </w:rPr>
            </w:pPr>
            <w:r>
              <w:rPr>
                <w:rFonts w:hAnsi="宋体"/>
                <w:sz w:val="32"/>
                <w:szCs w:val="32"/>
                <w:highlight w:val="none"/>
              </w:rPr>
              <w:t>详见比选公告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1.3.2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服务周期</w:t>
            </w:r>
          </w:p>
        </w:tc>
        <w:tc>
          <w:tcPr>
            <w:tcW w:w="6351" w:type="dxa"/>
            <w:vAlign w:val="center"/>
          </w:tcPr>
          <w:p>
            <w:pPr>
              <w:spacing w:line="400" w:lineRule="exact"/>
              <w:rPr>
                <w:rFonts w:hAnsi="宋体"/>
                <w:sz w:val="32"/>
                <w:szCs w:val="32"/>
                <w:highlight w:val="none"/>
              </w:rPr>
            </w:pPr>
            <w:r>
              <w:rPr>
                <w:rFonts w:hAnsi="宋体"/>
                <w:spacing w:val="1"/>
                <w:sz w:val="32"/>
                <w:szCs w:val="32"/>
                <w:highlight w:val="none"/>
              </w:rPr>
              <w:t>从合同签订之日起算，完成项目约定工作内容为止,最终以合同约定为准。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1.3.3</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服务标准和要求</w:t>
            </w:r>
          </w:p>
        </w:tc>
        <w:tc>
          <w:tcPr>
            <w:tcW w:w="6351" w:type="dxa"/>
            <w:vAlign w:val="center"/>
          </w:tcPr>
          <w:p>
            <w:pPr>
              <w:spacing w:line="400" w:lineRule="exact"/>
              <w:rPr>
                <w:rFonts w:hAnsi="宋体"/>
                <w:sz w:val="32"/>
                <w:szCs w:val="32"/>
                <w:highlight w:val="none"/>
              </w:rPr>
            </w:pPr>
            <w:r>
              <w:rPr>
                <w:rFonts w:hAnsi="宋体"/>
                <w:sz w:val="32"/>
                <w:szCs w:val="32"/>
                <w:highlight w:val="none"/>
              </w:rPr>
              <w:t>省国资委、蜀道集团</w:t>
            </w:r>
            <w:r>
              <w:rPr>
                <w:rFonts w:hAnsi="宋体"/>
                <w:sz w:val="32"/>
                <w:szCs w:val="32"/>
                <w:highlight w:val="none"/>
                <w:lang w:eastAsia="zh-Hans"/>
              </w:rPr>
              <w:t>、蜀道物流集团</w:t>
            </w:r>
            <w:r>
              <w:rPr>
                <w:rFonts w:hAnsi="宋体"/>
                <w:sz w:val="32"/>
                <w:szCs w:val="32"/>
                <w:highlight w:val="none"/>
              </w:rPr>
              <w:t>及四川</w:t>
            </w:r>
            <w:r>
              <w:rPr>
                <w:rFonts w:hint="eastAsia" w:hAnsi="宋体"/>
                <w:sz w:val="32"/>
                <w:szCs w:val="32"/>
                <w:highlight w:val="none"/>
              </w:rPr>
              <w:t>蜀物蓉欧实业</w:t>
            </w:r>
            <w:r>
              <w:rPr>
                <w:rFonts w:hAnsi="宋体"/>
                <w:sz w:val="32"/>
                <w:szCs w:val="32"/>
                <w:highlight w:val="none"/>
              </w:rPr>
              <w:t>有限公司相关要求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1.4.1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比选申请人资质条件、能力和信誉</w:t>
            </w:r>
          </w:p>
        </w:tc>
        <w:tc>
          <w:tcPr>
            <w:tcW w:w="6351" w:type="dxa"/>
            <w:vAlign w:val="center"/>
          </w:tcPr>
          <w:p>
            <w:pPr>
              <w:widowControl/>
              <w:shd w:val="clear" w:color="auto" w:fill="FFFFFF"/>
              <w:spacing w:line="400" w:lineRule="exact"/>
              <w:rPr>
                <w:rFonts w:hAnsi="宋体"/>
                <w:b w:val="0"/>
                <w:bCs/>
                <w:sz w:val="32"/>
                <w:szCs w:val="32"/>
                <w:highlight w:val="none"/>
              </w:rPr>
            </w:pPr>
            <w:r>
              <w:rPr>
                <w:rFonts w:hAnsi="宋体"/>
                <w:b/>
                <w:bCs/>
                <w:sz w:val="32"/>
                <w:szCs w:val="32"/>
                <w:highlight w:val="none"/>
              </w:rPr>
              <w:t>资质要求：</w:t>
            </w:r>
            <w:r>
              <w:rPr>
                <w:rFonts w:hint="default" w:hAnsi="宋体"/>
                <w:b w:val="0"/>
                <w:bCs/>
                <w:sz w:val="32"/>
                <w:szCs w:val="32"/>
                <w:highlight w:val="none"/>
              </w:rPr>
              <w:t>（一）依法设立，具有</w:t>
            </w:r>
            <w:r>
              <w:rPr>
                <w:rFonts w:hint="default" w:hAnsi="宋体"/>
                <w:b w:val="0"/>
                <w:bCs/>
                <w:sz w:val="32"/>
                <w:szCs w:val="32"/>
                <w:highlight w:val="none"/>
                <w:lang w:val="en-US" w:eastAsia="zh-CN"/>
              </w:rPr>
              <w:t>企业管理咨询</w:t>
            </w:r>
            <w:r>
              <w:rPr>
                <w:rFonts w:hint="default" w:hAnsi="宋体"/>
                <w:b w:val="0"/>
                <w:bCs/>
                <w:sz w:val="32"/>
                <w:szCs w:val="32"/>
                <w:highlight w:val="none"/>
              </w:rPr>
              <w:t>相应执业资质；（二）合法经营、依法执业，遵守法律法规、职业道德和执业准则，有良好社会信誉；（三）按规定通过了有关部门的年度检验；（四）近三年提供的中介服务未因重大执业质量等问题受到省国资委通报；（</w:t>
            </w:r>
            <w:r>
              <w:rPr>
                <w:rFonts w:hint="default" w:hAnsi="宋体"/>
                <w:b w:val="0"/>
                <w:bCs/>
                <w:sz w:val="32"/>
                <w:szCs w:val="32"/>
                <w:highlight w:val="none"/>
                <w:lang w:val="en-US" w:eastAsia="zh-CN"/>
              </w:rPr>
              <w:t>五</w:t>
            </w:r>
            <w:r>
              <w:rPr>
                <w:rFonts w:hint="default" w:hAnsi="宋体"/>
                <w:b w:val="0"/>
                <w:bCs/>
                <w:sz w:val="32"/>
                <w:szCs w:val="32"/>
                <w:highlight w:val="none"/>
              </w:rPr>
              <w:t>）</w:t>
            </w:r>
            <w:r>
              <w:rPr>
                <w:rFonts w:hint="default" w:ascii="宋体" w:hAnsi="宋体" w:eastAsia="宋体" w:cs="Times New Roman"/>
                <w:bCs/>
                <w:kern w:val="0"/>
                <w:sz w:val="32"/>
                <w:szCs w:val="32"/>
                <w:highlight w:val="none"/>
              </w:rPr>
              <w:t>不存在</w:t>
            </w:r>
            <w:r>
              <w:rPr>
                <w:rFonts w:hint="default" w:ascii="宋体" w:hAnsi="宋体" w:cs="Times New Roman"/>
                <w:bCs/>
                <w:kern w:val="0"/>
                <w:sz w:val="32"/>
                <w:szCs w:val="32"/>
                <w:highlight w:val="none"/>
                <w:lang w:eastAsia="zh-CN"/>
              </w:rPr>
              <w:t>《四川省国资委及出资企业中</w:t>
            </w:r>
            <w:r>
              <w:rPr>
                <w:rFonts w:hint="default" w:ascii="宋体" w:hAnsi="宋体" w:cs="Times New Roman"/>
                <w:bCs/>
                <w:kern w:val="0"/>
                <w:sz w:val="32"/>
                <w:szCs w:val="32"/>
                <w:highlight w:val="none"/>
                <w:lang w:eastAsia="zh-CN"/>
              </w:rPr>
              <w:t>介机构选聘管理试行办法》</w:t>
            </w:r>
            <w:r>
              <w:rPr>
                <w:rFonts w:hint="default" w:ascii="宋体" w:hAnsi="宋体" w:eastAsia="宋体" w:cs="Times New Roman"/>
                <w:bCs/>
                <w:kern w:val="0"/>
                <w:sz w:val="32"/>
                <w:szCs w:val="32"/>
                <w:highlight w:val="none"/>
              </w:rPr>
              <w:t>第二十八条情形</w:t>
            </w:r>
            <w:r>
              <w:rPr>
                <w:rFonts w:hint="default" w:ascii="宋体" w:hAnsi="宋体" w:cs="Times New Roman"/>
                <w:bCs/>
                <w:kern w:val="0"/>
                <w:sz w:val="32"/>
                <w:szCs w:val="32"/>
                <w:highlight w:val="none"/>
                <w:lang w:eastAsia="zh-CN"/>
              </w:rPr>
              <w:t>。</w:t>
            </w:r>
            <w:r>
              <w:rPr>
                <w:rFonts w:hint="default" w:hAnsi="宋体" w:cs="Times New Roman"/>
                <w:bCs/>
                <w:kern w:val="0"/>
                <w:sz w:val="32"/>
                <w:szCs w:val="32"/>
                <w:highlight w:val="none"/>
                <w:lang w:eastAsia="zh-CN"/>
              </w:rPr>
              <w:t>（</w:t>
            </w:r>
            <w:r>
              <w:rPr>
                <w:rFonts w:hint="default" w:hAnsi="宋体" w:cs="Times New Roman"/>
                <w:b w:val="0"/>
                <w:bCs/>
                <w:kern w:val="0"/>
                <w:sz w:val="32"/>
                <w:szCs w:val="32"/>
                <w:highlight w:val="none"/>
                <w:lang w:val="en-US" w:eastAsia="zh-CN"/>
              </w:rPr>
              <w:t>六</w:t>
            </w:r>
            <w:r>
              <w:rPr>
                <w:rFonts w:hint="default" w:hAnsi="宋体" w:cs="Times New Roman"/>
                <w:bCs/>
                <w:kern w:val="0"/>
                <w:sz w:val="32"/>
                <w:szCs w:val="32"/>
                <w:highlight w:val="none"/>
                <w:lang w:eastAsia="zh-CN"/>
              </w:rPr>
              <w:t>）</w:t>
            </w:r>
            <w:r>
              <w:rPr>
                <w:rFonts w:hint="default" w:hAnsi="宋体"/>
                <w:b w:val="0"/>
                <w:bCs/>
                <w:sz w:val="32"/>
                <w:szCs w:val="32"/>
                <w:highlight w:val="none"/>
                <w:lang w:val="en-US" w:eastAsia="zh-CN"/>
              </w:rPr>
              <w:t>有</w:t>
            </w:r>
            <w:r>
              <w:rPr>
                <w:rFonts w:hAnsi="宋体"/>
                <w:b w:val="0"/>
                <w:bCs/>
                <w:sz w:val="32"/>
                <w:szCs w:val="32"/>
                <w:highlight w:val="none"/>
              </w:rPr>
              <w:t>类似项目业绩：</w:t>
            </w:r>
            <w:r>
              <w:rPr>
                <w:rFonts w:hAnsi="宋体"/>
                <w:bCs/>
                <w:sz w:val="32"/>
                <w:szCs w:val="32"/>
                <w:highlight w:val="none"/>
              </w:rPr>
              <w:t>人力资源业务项目。</w:t>
            </w:r>
          </w:p>
          <w:p>
            <w:pPr>
              <w:widowControl/>
              <w:shd w:val="clear" w:color="auto" w:fill="FFFFFF"/>
              <w:spacing w:line="400" w:lineRule="exact"/>
              <w:rPr>
                <w:rFonts w:hAnsi="宋体"/>
                <w:sz w:val="32"/>
                <w:szCs w:val="32"/>
                <w:highlight w:val="none"/>
              </w:rPr>
            </w:pPr>
            <w:r>
              <w:rPr>
                <w:rFonts w:hAnsi="宋体"/>
                <w:b/>
                <w:bCs/>
                <w:sz w:val="32"/>
                <w:szCs w:val="32"/>
                <w:highlight w:val="none"/>
              </w:rPr>
              <w:t>信誉要求：</w:t>
            </w:r>
            <w:r>
              <w:rPr>
                <w:rFonts w:hAnsi="宋体"/>
                <w:bCs/>
                <w:sz w:val="32"/>
                <w:szCs w:val="32"/>
                <w:highlight w:val="none"/>
              </w:rPr>
              <w:t>未处于投标禁入期</w:t>
            </w:r>
            <w:r>
              <w:rPr>
                <w:rFonts w:hAnsi="宋体"/>
                <w:sz w:val="32"/>
                <w:szCs w:val="32"/>
                <w:highlight w:val="none"/>
              </w:rPr>
              <w:t>。</w:t>
            </w:r>
          </w:p>
          <w:p>
            <w:pPr>
              <w:widowControl/>
              <w:shd w:val="clear" w:color="auto" w:fill="FFFFFF"/>
              <w:spacing w:line="400" w:lineRule="exact"/>
              <w:rPr>
                <w:rFonts w:hAnsi="宋体"/>
                <w:sz w:val="32"/>
                <w:szCs w:val="32"/>
                <w:highlight w:val="none"/>
              </w:rPr>
            </w:pPr>
            <w:r>
              <w:rPr>
                <w:rFonts w:hAnsi="宋体"/>
                <w:b/>
                <w:bCs/>
                <w:sz w:val="32"/>
                <w:szCs w:val="32"/>
                <w:highlight w:val="none"/>
              </w:rPr>
              <w:t>主要人员要求：</w:t>
            </w:r>
            <w:r>
              <w:rPr>
                <w:rFonts w:hAnsi="宋体"/>
                <w:sz w:val="32"/>
                <w:szCs w:val="32"/>
                <w:highlight w:val="none"/>
              </w:rPr>
              <w:t>拟任项目负责人</w:t>
            </w:r>
            <w:r>
              <w:rPr>
                <w:rFonts w:hAnsi="宋体"/>
                <w:bCs/>
                <w:sz w:val="32"/>
                <w:szCs w:val="32"/>
                <w:highlight w:val="none"/>
              </w:rPr>
              <w:t>近三年（202</w:t>
            </w:r>
            <w:r>
              <w:rPr>
                <w:rFonts w:hint="eastAsia" w:hAnsi="宋体"/>
                <w:bCs/>
                <w:sz w:val="32"/>
                <w:szCs w:val="32"/>
                <w:highlight w:val="none"/>
              </w:rPr>
              <w:t>1</w:t>
            </w:r>
            <w:r>
              <w:rPr>
                <w:rFonts w:hAnsi="宋体"/>
                <w:bCs/>
                <w:sz w:val="32"/>
                <w:szCs w:val="32"/>
                <w:highlight w:val="none"/>
              </w:rPr>
              <w:t>年至今）在1个及以上已完成的类似项目业绩中担任项目负责人</w:t>
            </w:r>
            <w:r>
              <w:rPr>
                <w:rFonts w:hAnsi="宋体"/>
                <w:sz w:val="32"/>
                <w:szCs w:val="32"/>
                <w:highlight w:val="none"/>
              </w:rPr>
              <w:t>。</w:t>
            </w:r>
          </w:p>
          <w:p>
            <w:pPr>
              <w:spacing w:line="400" w:lineRule="exact"/>
              <w:rPr>
                <w:rFonts w:hAnsi="宋体"/>
                <w:sz w:val="32"/>
                <w:szCs w:val="32"/>
                <w:highlight w:val="none"/>
              </w:rPr>
            </w:pPr>
            <w:r>
              <w:rPr>
                <w:rFonts w:hAnsi="宋体"/>
                <w:b/>
                <w:bCs/>
                <w:sz w:val="32"/>
                <w:szCs w:val="32"/>
                <w:highlight w:val="none"/>
              </w:rPr>
              <w:t>其他要求：</w:t>
            </w:r>
            <w:r>
              <w:rPr>
                <w:rFonts w:hAnsi="宋体"/>
                <w:sz w:val="32"/>
                <w:szCs w:val="32"/>
                <w:highlight w:val="none"/>
              </w:rPr>
              <w:t>比选申请人本项目各类服务人员数量必须满足项目实际需要，且不得少于3人。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rPr>
                <w:rFonts w:hAnsi="宋体"/>
                <w:sz w:val="32"/>
                <w:szCs w:val="32"/>
                <w:highlight w:val="none"/>
              </w:rPr>
            </w:pPr>
            <w:r>
              <w:rPr>
                <w:rFonts w:hAnsi="宋体"/>
                <w:sz w:val="32"/>
                <w:szCs w:val="32"/>
                <w:highlight w:val="none"/>
              </w:rPr>
              <w:t>1.4.2</w:t>
            </w:r>
          </w:p>
        </w:tc>
        <w:tc>
          <w:tcPr>
            <w:tcW w:w="1689" w:type="dxa"/>
            <w:vAlign w:val="center"/>
          </w:tcPr>
          <w:p>
            <w:pPr>
              <w:spacing w:line="400" w:lineRule="exact"/>
              <w:rPr>
                <w:rFonts w:hAnsi="宋体"/>
                <w:sz w:val="32"/>
                <w:szCs w:val="32"/>
                <w:highlight w:val="none"/>
              </w:rPr>
            </w:pPr>
            <w:r>
              <w:rPr>
                <w:rFonts w:hAnsi="宋体"/>
                <w:sz w:val="32"/>
                <w:szCs w:val="32"/>
                <w:highlight w:val="none"/>
              </w:rPr>
              <w:t>是否接受联合体参加比选</w:t>
            </w:r>
          </w:p>
        </w:tc>
        <w:tc>
          <w:tcPr>
            <w:tcW w:w="6351" w:type="dxa"/>
            <w:vAlign w:val="center"/>
          </w:tcPr>
          <w:p>
            <w:pPr>
              <w:spacing w:line="400" w:lineRule="exact"/>
              <w:rPr>
                <w:rFonts w:hAnsi="宋体"/>
                <w:sz w:val="32"/>
                <w:szCs w:val="32"/>
                <w:highlight w:val="none"/>
              </w:rPr>
            </w:pPr>
            <w:r>
              <w:rPr>
                <w:rFonts w:hAnsi="宋体"/>
                <w:sz w:val="32"/>
                <w:szCs w:val="32"/>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1.9</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踏勘现场</w:t>
            </w:r>
          </w:p>
        </w:tc>
        <w:tc>
          <w:tcPr>
            <w:tcW w:w="6351" w:type="dxa"/>
            <w:vAlign w:val="center"/>
          </w:tcPr>
          <w:p>
            <w:pPr>
              <w:spacing w:line="400" w:lineRule="exact"/>
              <w:rPr>
                <w:rFonts w:hAnsi="宋体"/>
                <w:sz w:val="32"/>
                <w:szCs w:val="32"/>
                <w:highlight w:val="none"/>
              </w:rPr>
            </w:pPr>
            <w:r>
              <w:rPr>
                <w:rFonts w:hAnsi="宋体"/>
                <w:sz w:val="32"/>
                <w:szCs w:val="32"/>
                <w:highlight w:val="none"/>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1.10</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偏离</w:t>
            </w:r>
          </w:p>
        </w:tc>
        <w:tc>
          <w:tcPr>
            <w:tcW w:w="6351" w:type="dxa"/>
            <w:vAlign w:val="center"/>
          </w:tcPr>
          <w:p>
            <w:pPr>
              <w:spacing w:line="400" w:lineRule="exact"/>
              <w:rPr>
                <w:rFonts w:hAnsi="宋体"/>
                <w:sz w:val="32"/>
                <w:szCs w:val="32"/>
                <w:highlight w:val="none"/>
              </w:rPr>
            </w:pPr>
            <w:r>
              <w:rPr>
                <w:rFonts w:hAnsi="宋体"/>
                <w:sz w:val="32"/>
                <w:szCs w:val="32"/>
                <w:highlight w:val="none"/>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3.1.2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递交比选申请文件截止时间</w:t>
            </w:r>
          </w:p>
        </w:tc>
        <w:tc>
          <w:tcPr>
            <w:tcW w:w="6351" w:type="dxa"/>
            <w:vAlign w:val="center"/>
          </w:tcPr>
          <w:p>
            <w:pPr>
              <w:spacing w:line="400" w:lineRule="exact"/>
              <w:rPr>
                <w:rFonts w:hAnsi="宋体"/>
                <w:sz w:val="32"/>
                <w:szCs w:val="32"/>
                <w:highlight w:val="none"/>
              </w:rPr>
            </w:pPr>
            <w:r>
              <w:rPr>
                <w:rFonts w:hAnsi="宋体"/>
                <w:sz w:val="32"/>
                <w:szCs w:val="32"/>
                <w:highlight w:val="none"/>
              </w:rPr>
              <w:t>202</w:t>
            </w:r>
            <w:r>
              <w:rPr>
                <w:rFonts w:hint="eastAsia" w:hAnsi="宋体"/>
                <w:sz w:val="32"/>
                <w:szCs w:val="32"/>
                <w:highlight w:val="none"/>
              </w:rPr>
              <w:t>4</w:t>
            </w:r>
            <w:r>
              <w:rPr>
                <w:rFonts w:hAnsi="宋体"/>
                <w:sz w:val="32"/>
                <w:szCs w:val="32"/>
                <w:highlight w:val="none"/>
              </w:rPr>
              <w:t>年</w:t>
            </w:r>
            <w:r>
              <w:rPr>
                <w:rFonts w:hAnsi="宋体"/>
                <w:sz w:val="32"/>
                <w:szCs w:val="32"/>
                <w:highlight w:val="none"/>
                <w:u w:val="single"/>
              </w:rPr>
              <w:t xml:space="preserve"> </w:t>
            </w:r>
            <w:r>
              <w:rPr>
                <w:rFonts w:hint="eastAsia" w:hAnsi="宋体"/>
                <w:sz w:val="32"/>
                <w:szCs w:val="32"/>
                <w:highlight w:val="none"/>
                <w:u w:val="single"/>
                <w:lang w:val="en-US" w:eastAsia="zh-CN"/>
              </w:rPr>
              <w:t>4</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int="eastAsia" w:hAnsi="宋体"/>
                <w:sz w:val="32"/>
                <w:szCs w:val="32"/>
                <w:highlight w:val="none"/>
                <w:u w:val="single"/>
                <w:lang w:val="en-US" w:eastAsia="zh-CN"/>
              </w:rPr>
              <w:t>9</w:t>
            </w:r>
            <w:r>
              <w:rPr>
                <w:rFonts w:hAnsi="宋体"/>
                <w:sz w:val="32"/>
                <w:szCs w:val="32"/>
                <w:highlight w:val="none"/>
                <w:u w:val="single"/>
              </w:rPr>
              <w:t xml:space="preserve"> </w:t>
            </w:r>
            <w:r>
              <w:rPr>
                <w:rFonts w:hAnsi="宋体"/>
                <w:sz w:val="32"/>
                <w:szCs w:val="32"/>
                <w:highlight w:val="none"/>
              </w:rPr>
              <w:t>日10时00分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比选报价</w:t>
            </w:r>
          </w:p>
        </w:tc>
        <w:tc>
          <w:tcPr>
            <w:tcW w:w="6351" w:type="dxa"/>
            <w:vAlign w:val="center"/>
          </w:tcPr>
          <w:p>
            <w:pPr>
              <w:spacing w:line="400" w:lineRule="exact"/>
              <w:rPr>
                <w:rFonts w:hAnsi="宋体"/>
                <w:b/>
                <w:sz w:val="32"/>
                <w:szCs w:val="32"/>
                <w:highlight w:val="none"/>
              </w:rPr>
            </w:pPr>
            <w:r>
              <w:rPr>
                <w:rFonts w:hAnsi="宋体"/>
                <w:b/>
                <w:sz w:val="32"/>
                <w:szCs w:val="32"/>
                <w:highlight w:val="none"/>
              </w:rPr>
              <w:t>采用总价承包方式进行报价。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3.3</w:t>
            </w:r>
            <w:r>
              <w:rPr>
                <w:rFonts w:hint="eastAsia" w:hAnsi="宋体"/>
                <w:sz w:val="32"/>
                <w:szCs w:val="32"/>
                <w:highlight w:val="none"/>
              </w:rPr>
              <w:t>.1</w:t>
            </w:r>
          </w:p>
        </w:tc>
        <w:tc>
          <w:tcPr>
            <w:tcW w:w="1689" w:type="dxa"/>
            <w:vAlign w:val="center"/>
          </w:tcPr>
          <w:p>
            <w:pPr>
              <w:spacing w:line="400" w:lineRule="exact"/>
              <w:rPr>
                <w:rFonts w:hAnsi="宋体"/>
                <w:sz w:val="32"/>
                <w:szCs w:val="32"/>
                <w:highlight w:val="none"/>
              </w:rPr>
            </w:pPr>
            <w:r>
              <w:rPr>
                <w:rFonts w:hAnsi="宋体"/>
                <w:sz w:val="32"/>
                <w:szCs w:val="32"/>
                <w:highlight w:val="none"/>
              </w:rPr>
              <w:t>比选申请有效期</w:t>
            </w:r>
          </w:p>
        </w:tc>
        <w:tc>
          <w:tcPr>
            <w:tcW w:w="6351" w:type="dxa"/>
            <w:vAlign w:val="center"/>
          </w:tcPr>
          <w:p>
            <w:pPr>
              <w:spacing w:line="400" w:lineRule="exact"/>
              <w:rPr>
                <w:rFonts w:hAnsi="宋体"/>
                <w:sz w:val="32"/>
                <w:szCs w:val="32"/>
                <w:highlight w:val="none"/>
              </w:rPr>
            </w:pPr>
            <w:r>
              <w:rPr>
                <w:rFonts w:hAnsi="宋体"/>
                <w:sz w:val="32"/>
                <w:szCs w:val="32"/>
                <w:highlight w:val="none"/>
                <w:u w:val="single"/>
              </w:rPr>
              <w:t xml:space="preserve"> </w:t>
            </w:r>
            <w:r>
              <w:rPr>
                <w:rFonts w:hint="eastAsia" w:hAnsi="宋体"/>
                <w:sz w:val="32"/>
                <w:szCs w:val="32"/>
                <w:highlight w:val="none"/>
                <w:u w:val="single"/>
              </w:rPr>
              <w:t>90</w:t>
            </w:r>
            <w:r>
              <w:rPr>
                <w:rFonts w:hAnsi="宋体"/>
                <w:sz w:val="32"/>
                <w:szCs w:val="32"/>
                <w:highlight w:val="none"/>
                <w:u w:val="single"/>
              </w:rPr>
              <w:t xml:space="preserve"> </w:t>
            </w:r>
            <w:r>
              <w:rPr>
                <w:rFonts w:hAnsi="宋体"/>
                <w:sz w:val="32"/>
                <w:szCs w:val="32"/>
                <w:highlight w:val="none"/>
              </w:rPr>
              <w:t>日历天(从比选截止之日算起)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3.4</w:t>
            </w:r>
          </w:p>
        </w:tc>
        <w:tc>
          <w:tcPr>
            <w:tcW w:w="1689" w:type="dxa"/>
            <w:vAlign w:val="center"/>
          </w:tcPr>
          <w:p>
            <w:pPr>
              <w:spacing w:line="400" w:lineRule="exact"/>
              <w:rPr>
                <w:rFonts w:hAnsi="宋体"/>
                <w:sz w:val="32"/>
                <w:szCs w:val="32"/>
                <w:highlight w:val="none"/>
              </w:rPr>
            </w:pPr>
            <w:r>
              <w:rPr>
                <w:rFonts w:hAnsi="宋体"/>
                <w:sz w:val="32"/>
                <w:szCs w:val="32"/>
                <w:highlight w:val="none"/>
              </w:rPr>
              <w:t>比选保证金</w:t>
            </w:r>
          </w:p>
        </w:tc>
        <w:tc>
          <w:tcPr>
            <w:tcW w:w="6351" w:type="dxa"/>
            <w:vAlign w:val="center"/>
          </w:tcPr>
          <w:p>
            <w:pPr>
              <w:spacing w:line="400" w:lineRule="exact"/>
              <w:rPr>
                <w:rFonts w:hAnsi="宋体"/>
                <w:sz w:val="32"/>
                <w:szCs w:val="32"/>
                <w:highlight w:val="none"/>
              </w:rPr>
            </w:pPr>
            <w:r>
              <w:rPr>
                <w:rFonts w:hAnsi="宋体"/>
                <w:sz w:val="32"/>
                <w:szCs w:val="32"/>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3.7.1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比选申请文件格式</w:t>
            </w:r>
          </w:p>
        </w:tc>
        <w:tc>
          <w:tcPr>
            <w:tcW w:w="6351" w:type="dxa"/>
            <w:vAlign w:val="center"/>
          </w:tcPr>
          <w:p>
            <w:pPr>
              <w:spacing w:line="400" w:lineRule="exact"/>
              <w:rPr>
                <w:rFonts w:hAnsi="宋体"/>
                <w:sz w:val="32"/>
                <w:szCs w:val="32"/>
                <w:highlight w:val="none"/>
              </w:rPr>
            </w:pPr>
            <w:r>
              <w:rPr>
                <w:rFonts w:hAnsi="宋体"/>
                <w:sz w:val="32"/>
                <w:szCs w:val="32"/>
                <w:highlight w:val="none"/>
              </w:rPr>
              <w:t>比选申请文件应按本比选文件“比选申请文件格式”要求编制，</w:t>
            </w:r>
          </w:p>
          <w:p>
            <w:pPr>
              <w:spacing w:line="400" w:lineRule="exact"/>
              <w:rPr>
                <w:rFonts w:hAnsi="宋体"/>
                <w:sz w:val="32"/>
                <w:szCs w:val="32"/>
                <w:highlight w:val="none"/>
              </w:rPr>
            </w:pPr>
            <w:r>
              <w:rPr>
                <w:rFonts w:hAnsi="宋体"/>
                <w:sz w:val="32"/>
                <w:szCs w:val="32"/>
                <w:highlight w:val="none"/>
              </w:rPr>
              <w:t>实质内容应包含“比选申请文件格式”所要求的全部内容。</w:t>
            </w:r>
          </w:p>
          <w:p>
            <w:pPr>
              <w:spacing w:line="400" w:lineRule="exact"/>
              <w:rPr>
                <w:rFonts w:hAnsi="宋体"/>
                <w:sz w:val="32"/>
                <w:szCs w:val="32"/>
                <w:highlight w:val="none"/>
              </w:rPr>
            </w:pPr>
            <w:r>
              <w:rPr>
                <w:rFonts w:hAnsi="宋体"/>
                <w:sz w:val="32"/>
                <w:szCs w:val="32"/>
                <w:highlight w:val="none"/>
              </w:rPr>
              <w:t>比选申请文件应按“比选申请文件格式” 要求填写和提供相应的证明、证件。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3.7.3</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签字或盖章要求</w:t>
            </w:r>
          </w:p>
        </w:tc>
        <w:tc>
          <w:tcPr>
            <w:tcW w:w="6351" w:type="dxa"/>
            <w:vAlign w:val="center"/>
          </w:tcPr>
          <w:p>
            <w:pPr>
              <w:spacing w:line="400" w:lineRule="exact"/>
              <w:rPr>
                <w:rFonts w:hAnsi="宋体"/>
                <w:sz w:val="32"/>
                <w:szCs w:val="32"/>
                <w:highlight w:val="none"/>
              </w:rPr>
            </w:pPr>
            <w:r>
              <w:rPr>
                <w:rFonts w:hAnsi="宋体"/>
                <w:sz w:val="32"/>
                <w:szCs w:val="32"/>
                <w:highlight w:val="none"/>
              </w:rPr>
              <w:t>所有要求签字的地方都应用不褪色的墨水或签字笔由申请人法定代表人或其</w:t>
            </w:r>
            <w:r>
              <w:rPr>
                <w:rFonts w:hint="eastAsia" w:hAnsi="宋体"/>
                <w:sz w:val="32"/>
                <w:szCs w:val="32"/>
                <w:highlight w:val="none"/>
              </w:rPr>
              <w:t>授权</w:t>
            </w:r>
            <w:r>
              <w:rPr>
                <w:rFonts w:hAnsi="宋体"/>
                <w:sz w:val="32"/>
                <w:szCs w:val="32"/>
                <w:highlight w:val="none"/>
              </w:rPr>
              <w:t>代理人本人亲笔手写签字，所有要求盖章的地方都应加盖比选申请人单位（法定名称）章（鲜章），不得使用专用印章（如经济合同章、投标专用章等）或下属单位印章代替。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3.7.4</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比选申请文件副本份数</w:t>
            </w:r>
          </w:p>
        </w:tc>
        <w:tc>
          <w:tcPr>
            <w:tcW w:w="6351" w:type="dxa"/>
            <w:vAlign w:val="center"/>
          </w:tcPr>
          <w:p>
            <w:pPr>
              <w:spacing w:line="400" w:lineRule="exact"/>
              <w:rPr>
                <w:rFonts w:hAnsi="宋体"/>
                <w:sz w:val="32"/>
                <w:szCs w:val="32"/>
                <w:highlight w:val="none"/>
              </w:rPr>
            </w:pPr>
            <w:r>
              <w:rPr>
                <w:rFonts w:hAnsi="宋体"/>
                <w:sz w:val="32"/>
                <w:szCs w:val="32"/>
                <w:highlight w:val="none"/>
              </w:rPr>
              <w:t>正本一份，副本二份。当副本和正本不一致时，以正本为准，但副本和正本内容不一致造成的评审差错由比选申请人自行承担。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4.1.1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比选申请文件的包装和密封</w:t>
            </w:r>
          </w:p>
        </w:tc>
        <w:tc>
          <w:tcPr>
            <w:tcW w:w="6351" w:type="dxa"/>
            <w:vAlign w:val="center"/>
          </w:tcPr>
          <w:p>
            <w:pPr>
              <w:spacing w:line="400" w:lineRule="exact"/>
              <w:rPr>
                <w:rFonts w:hAnsi="宋体"/>
                <w:sz w:val="32"/>
                <w:szCs w:val="32"/>
                <w:highlight w:val="none"/>
              </w:rPr>
            </w:pPr>
            <w:r>
              <w:rPr>
                <w:rFonts w:hAnsi="宋体"/>
                <w:sz w:val="32"/>
                <w:szCs w:val="32"/>
                <w:highlight w:val="none"/>
              </w:rPr>
              <w:t>比选申请文件的正本和副本应一个包装，当副本超过一份时，比选申请人可以每一份副本一个包装。</w:t>
            </w:r>
          </w:p>
          <w:p>
            <w:pPr>
              <w:spacing w:line="400" w:lineRule="exact"/>
              <w:rPr>
                <w:rFonts w:hAnsi="宋体"/>
                <w:sz w:val="32"/>
                <w:szCs w:val="32"/>
                <w:highlight w:val="none"/>
              </w:rPr>
            </w:pPr>
            <w:r>
              <w:rPr>
                <w:rFonts w:hAnsi="宋体"/>
                <w:sz w:val="32"/>
                <w:szCs w:val="32"/>
                <w:highlight w:val="none"/>
              </w:rPr>
              <w:t>每一个包装都应在其封套的封口处加贴封条，并在封套的封口处加盖比选申请人单位章（鲜章）。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4.1.2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封套上写明</w:t>
            </w:r>
          </w:p>
        </w:tc>
        <w:tc>
          <w:tcPr>
            <w:tcW w:w="6351" w:type="dxa"/>
            <w:vAlign w:val="center"/>
          </w:tcPr>
          <w:p>
            <w:pPr>
              <w:spacing w:line="400" w:lineRule="exact"/>
              <w:rPr>
                <w:rFonts w:hAnsi="宋体"/>
                <w:sz w:val="32"/>
                <w:szCs w:val="32"/>
                <w:highlight w:val="none"/>
              </w:rPr>
            </w:pPr>
            <w:r>
              <w:rPr>
                <w:rFonts w:hAnsi="宋体"/>
                <w:sz w:val="32"/>
                <w:szCs w:val="32"/>
                <w:highlight w:val="none"/>
              </w:rPr>
              <w:t>比选人的地址：</w:t>
            </w:r>
            <w:r>
              <w:rPr>
                <w:rFonts w:hint="eastAsia" w:hAnsi="宋体"/>
                <w:sz w:val="32"/>
                <w:szCs w:val="32"/>
                <w:highlight w:val="none"/>
              </w:rPr>
              <w:t>四川蜀物蓉欧实业有限公司</w:t>
            </w:r>
            <w:r>
              <w:rPr>
                <w:rFonts w:hAnsi="宋体"/>
                <w:sz w:val="32"/>
                <w:szCs w:val="32"/>
                <w:highlight w:val="none"/>
              </w:rPr>
              <w:t>（成都市青羊区光华北五路266号2栋</w:t>
            </w:r>
            <w:r>
              <w:rPr>
                <w:rFonts w:hint="eastAsia" w:hAnsi="宋体"/>
                <w:sz w:val="32"/>
                <w:szCs w:val="32"/>
                <w:highlight w:val="none"/>
              </w:rPr>
              <w:t>A座7层</w:t>
            </w:r>
            <w:r>
              <w:rPr>
                <w:rFonts w:hAnsi="宋体"/>
                <w:sz w:val="32"/>
                <w:szCs w:val="32"/>
                <w:highlight w:val="none"/>
              </w:rPr>
              <w:t>）</w:t>
            </w:r>
          </w:p>
          <w:p>
            <w:pPr>
              <w:spacing w:line="400" w:lineRule="exact"/>
              <w:rPr>
                <w:rFonts w:hAnsi="宋体"/>
                <w:sz w:val="32"/>
                <w:szCs w:val="32"/>
                <w:highlight w:val="none"/>
              </w:rPr>
            </w:pPr>
            <w:r>
              <w:rPr>
                <w:rFonts w:hAnsi="宋体"/>
                <w:sz w:val="32"/>
                <w:szCs w:val="32"/>
                <w:highlight w:val="none"/>
              </w:rPr>
              <w:t>比选人名称：</w:t>
            </w:r>
            <w:r>
              <w:rPr>
                <w:rFonts w:hint="eastAsia" w:hAnsi="宋体"/>
                <w:sz w:val="32"/>
                <w:szCs w:val="32"/>
                <w:highlight w:val="none"/>
              </w:rPr>
              <w:t>四川蜀物蓉欧实业有限公司</w:t>
            </w:r>
          </w:p>
          <w:p>
            <w:pPr>
              <w:spacing w:line="400" w:lineRule="exact"/>
              <w:rPr>
                <w:rFonts w:hAnsi="宋体"/>
                <w:sz w:val="32"/>
                <w:szCs w:val="32"/>
                <w:highlight w:val="none"/>
              </w:rPr>
            </w:pPr>
            <w:r>
              <w:rPr>
                <w:rFonts w:hint="eastAsia" w:hAnsi="宋体"/>
                <w:sz w:val="32"/>
                <w:szCs w:val="32"/>
                <w:highlight w:val="none"/>
              </w:rPr>
              <w:t>四川蜀物蓉欧实业有限公司人力资源服务中介机构选聘项目</w:t>
            </w:r>
            <w:r>
              <w:rPr>
                <w:rFonts w:hAnsi="宋体"/>
                <w:sz w:val="32"/>
                <w:szCs w:val="32"/>
                <w:highlight w:val="none"/>
              </w:rPr>
              <w:t>比选申请文件</w:t>
            </w:r>
          </w:p>
          <w:p>
            <w:pPr>
              <w:spacing w:line="400" w:lineRule="exact"/>
              <w:rPr>
                <w:rFonts w:hAnsi="宋体"/>
                <w:sz w:val="32"/>
                <w:szCs w:val="32"/>
                <w:highlight w:val="none"/>
              </w:rPr>
            </w:pPr>
            <w:r>
              <w:rPr>
                <w:rFonts w:hAnsi="宋体"/>
                <w:sz w:val="32"/>
                <w:szCs w:val="32"/>
                <w:highlight w:val="none"/>
              </w:rPr>
              <w:t>比选申请人：</w:t>
            </w:r>
          </w:p>
          <w:p>
            <w:pPr>
              <w:spacing w:line="400" w:lineRule="exact"/>
              <w:rPr>
                <w:rFonts w:hAnsi="宋体"/>
                <w:sz w:val="32"/>
                <w:szCs w:val="32"/>
                <w:highlight w:val="none"/>
              </w:rPr>
            </w:pPr>
            <w:r>
              <w:rPr>
                <w:rFonts w:hAnsi="宋体"/>
                <w:sz w:val="32"/>
                <w:szCs w:val="32"/>
                <w:highlight w:val="none"/>
              </w:rPr>
              <w:t>在</w:t>
            </w:r>
            <w:r>
              <w:rPr>
                <w:rFonts w:hAnsi="宋体"/>
                <w:sz w:val="32"/>
                <w:szCs w:val="32"/>
                <w:highlight w:val="none"/>
                <w:u w:val="single"/>
              </w:rPr>
              <w:t>202</w:t>
            </w:r>
            <w:r>
              <w:rPr>
                <w:rFonts w:hint="eastAsia" w:hAnsi="宋体"/>
                <w:sz w:val="32"/>
                <w:szCs w:val="32"/>
                <w:highlight w:val="none"/>
                <w:u w:val="single"/>
              </w:rPr>
              <w:t>4</w:t>
            </w:r>
            <w:r>
              <w:rPr>
                <w:rFonts w:hAnsi="宋体"/>
                <w:sz w:val="32"/>
                <w:szCs w:val="32"/>
                <w:highlight w:val="none"/>
                <w:u w:val="single"/>
              </w:rPr>
              <w:t>年</w:t>
            </w:r>
            <w:r>
              <w:rPr>
                <w:rFonts w:hint="eastAsia" w:hAnsi="宋体"/>
                <w:sz w:val="32"/>
                <w:szCs w:val="32"/>
                <w:highlight w:val="none"/>
                <w:u w:val="single"/>
                <w:lang w:val="en-US" w:eastAsia="zh-CN"/>
              </w:rPr>
              <w:t>4</w:t>
            </w:r>
            <w:r>
              <w:rPr>
                <w:rFonts w:hAnsi="宋体"/>
                <w:sz w:val="32"/>
                <w:szCs w:val="32"/>
                <w:highlight w:val="none"/>
                <w:u w:val="single"/>
              </w:rPr>
              <w:t>月</w:t>
            </w:r>
            <w:r>
              <w:rPr>
                <w:rFonts w:hint="eastAsia" w:hAnsi="宋体"/>
                <w:sz w:val="32"/>
                <w:szCs w:val="32"/>
                <w:highlight w:val="none"/>
                <w:u w:val="single"/>
                <w:lang w:val="en-US" w:eastAsia="zh-CN"/>
              </w:rPr>
              <w:t>9</w:t>
            </w:r>
            <w:r>
              <w:rPr>
                <w:rFonts w:hAnsi="宋体"/>
                <w:sz w:val="32"/>
                <w:szCs w:val="32"/>
                <w:highlight w:val="none"/>
                <w:u w:val="single"/>
              </w:rPr>
              <w:t>日</w:t>
            </w:r>
            <w:r>
              <w:rPr>
                <w:rFonts w:hint="eastAsia" w:hAnsi="宋体"/>
                <w:sz w:val="32"/>
                <w:szCs w:val="32"/>
                <w:highlight w:val="none"/>
                <w:lang w:val="en-US" w:eastAsia="zh-CN"/>
              </w:rPr>
              <w:t>10</w:t>
            </w:r>
            <w:r>
              <w:rPr>
                <w:rFonts w:hAnsi="宋体"/>
                <w:sz w:val="32"/>
                <w:szCs w:val="32"/>
                <w:highlight w:val="none"/>
              </w:rPr>
              <w:t>时00分前不得开启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4.2.2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递交比选申请文件地点</w:t>
            </w:r>
          </w:p>
        </w:tc>
        <w:tc>
          <w:tcPr>
            <w:tcW w:w="6351" w:type="dxa"/>
            <w:vAlign w:val="center"/>
          </w:tcPr>
          <w:p>
            <w:pPr>
              <w:spacing w:line="400" w:lineRule="exact"/>
              <w:rPr>
                <w:rFonts w:hAnsi="宋体"/>
                <w:sz w:val="32"/>
                <w:szCs w:val="32"/>
                <w:highlight w:val="none"/>
              </w:rPr>
            </w:pPr>
            <w:r>
              <w:rPr>
                <w:rFonts w:hint="eastAsia" w:hAnsi="宋体"/>
                <w:sz w:val="32"/>
                <w:szCs w:val="32"/>
                <w:highlight w:val="none"/>
              </w:rPr>
              <w:t>四川蜀物蓉欧实业有限公司</w:t>
            </w:r>
            <w:r>
              <w:rPr>
                <w:rFonts w:hAnsi="宋体"/>
                <w:sz w:val="32"/>
                <w:szCs w:val="32"/>
                <w:highlight w:val="none"/>
              </w:rPr>
              <w:t>（成都市青羊区光华北五路266号2栋</w:t>
            </w:r>
            <w:r>
              <w:rPr>
                <w:rFonts w:hint="eastAsia" w:hAnsi="宋体"/>
                <w:sz w:val="32"/>
                <w:szCs w:val="32"/>
                <w:highlight w:val="none"/>
              </w:rPr>
              <w:t>A座7层</w:t>
            </w:r>
            <w:r>
              <w:rPr>
                <w:rFonts w:hAnsi="宋体"/>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4.2.3</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是否退还比选申请文件</w:t>
            </w:r>
          </w:p>
        </w:tc>
        <w:tc>
          <w:tcPr>
            <w:tcW w:w="6351" w:type="dxa"/>
            <w:vAlign w:val="center"/>
          </w:tcPr>
          <w:p>
            <w:pPr>
              <w:spacing w:line="400" w:lineRule="exact"/>
              <w:rPr>
                <w:rFonts w:hAnsi="宋体"/>
                <w:sz w:val="32"/>
                <w:szCs w:val="32"/>
                <w:highlight w:val="none"/>
              </w:rPr>
            </w:pPr>
            <w:r>
              <w:rPr>
                <w:rFonts w:hAnsi="宋体"/>
                <w:sz w:val="32"/>
                <w:szCs w:val="32"/>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5.1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开标时间和地点</w:t>
            </w:r>
          </w:p>
        </w:tc>
        <w:tc>
          <w:tcPr>
            <w:tcW w:w="6351" w:type="dxa"/>
            <w:vAlign w:val="center"/>
          </w:tcPr>
          <w:p>
            <w:pPr>
              <w:spacing w:line="400" w:lineRule="exact"/>
              <w:rPr>
                <w:rFonts w:hAnsi="宋体"/>
                <w:sz w:val="32"/>
                <w:szCs w:val="32"/>
                <w:highlight w:val="none"/>
              </w:rPr>
            </w:pPr>
            <w:r>
              <w:rPr>
                <w:rFonts w:hAnsi="宋体"/>
                <w:sz w:val="32"/>
                <w:szCs w:val="32"/>
                <w:highlight w:val="none"/>
              </w:rPr>
              <w:t>时间：同比选公告截止时间。地点：同递交比选文件地点。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5.2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开标程序</w:t>
            </w:r>
          </w:p>
        </w:tc>
        <w:tc>
          <w:tcPr>
            <w:tcW w:w="6351" w:type="dxa"/>
            <w:vAlign w:val="center"/>
          </w:tcPr>
          <w:p>
            <w:pPr>
              <w:spacing w:line="400" w:lineRule="exact"/>
              <w:rPr>
                <w:rFonts w:hAnsi="宋体"/>
                <w:sz w:val="32"/>
                <w:szCs w:val="32"/>
                <w:highlight w:val="none"/>
              </w:rPr>
            </w:pPr>
            <w:r>
              <w:rPr>
                <w:rFonts w:hAnsi="宋体"/>
                <w:sz w:val="32"/>
                <w:szCs w:val="32"/>
                <w:highlight w:val="none"/>
              </w:rPr>
              <w:t>（1）密封情况检查；（2）开标顺序：按递交比选申请文件的顺序，后递先开。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6.1.1</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评审委员会的组建</w:t>
            </w:r>
          </w:p>
        </w:tc>
        <w:tc>
          <w:tcPr>
            <w:tcW w:w="6351" w:type="dxa"/>
            <w:vAlign w:val="center"/>
          </w:tcPr>
          <w:p>
            <w:pPr>
              <w:spacing w:line="400" w:lineRule="exact"/>
              <w:rPr>
                <w:rFonts w:hAnsi="宋体"/>
                <w:sz w:val="32"/>
                <w:szCs w:val="32"/>
                <w:highlight w:val="none"/>
              </w:rPr>
            </w:pPr>
            <w:r>
              <w:rPr>
                <w:rFonts w:hAnsi="宋体"/>
                <w:sz w:val="32"/>
                <w:szCs w:val="32"/>
                <w:highlight w:val="none"/>
              </w:rPr>
              <w:t>评审委员会由比选人选派本</w:t>
            </w:r>
            <w:r>
              <w:rPr>
                <w:rFonts w:hint="eastAsia" w:hAnsi="宋体"/>
                <w:sz w:val="32"/>
                <w:szCs w:val="32"/>
                <w:highlight w:val="none"/>
              </w:rPr>
              <w:t>单位人</w:t>
            </w:r>
            <w:r>
              <w:rPr>
                <w:rFonts w:hAnsi="宋体"/>
                <w:sz w:val="32"/>
                <w:szCs w:val="32"/>
                <w:highlight w:val="none"/>
              </w:rPr>
              <w:t>组成，成员人数为：5人。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6.3</w:t>
            </w:r>
          </w:p>
        </w:tc>
        <w:tc>
          <w:tcPr>
            <w:tcW w:w="1689" w:type="dxa"/>
            <w:vAlign w:val="center"/>
          </w:tcPr>
          <w:p>
            <w:pPr>
              <w:spacing w:line="400" w:lineRule="exact"/>
              <w:rPr>
                <w:rFonts w:hAnsi="宋体"/>
                <w:sz w:val="32"/>
                <w:szCs w:val="32"/>
                <w:highlight w:val="none"/>
              </w:rPr>
            </w:pPr>
            <w:r>
              <w:rPr>
                <w:rFonts w:hAnsi="宋体"/>
                <w:sz w:val="32"/>
                <w:szCs w:val="32"/>
                <w:highlight w:val="none"/>
              </w:rPr>
              <w:t>评审办法</w:t>
            </w:r>
          </w:p>
        </w:tc>
        <w:tc>
          <w:tcPr>
            <w:tcW w:w="6351" w:type="dxa"/>
            <w:vAlign w:val="center"/>
          </w:tcPr>
          <w:p>
            <w:pPr>
              <w:spacing w:line="400" w:lineRule="exact"/>
              <w:rPr>
                <w:rFonts w:hAnsi="宋体"/>
                <w:sz w:val="32"/>
                <w:szCs w:val="32"/>
                <w:highlight w:val="none"/>
              </w:rPr>
            </w:pPr>
            <w:r>
              <w:rPr>
                <w:rFonts w:hAnsi="宋体"/>
                <w:sz w:val="32"/>
                <w:szCs w:val="32"/>
                <w:highlight w:val="none"/>
              </w:rPr>
              <w:t>综合评估法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7.3</w:t>
            </w:r>
          </w:p>
        </w:tc>
        <w:tc>
          <w:tcPr>
            <w:tcW w:w="1689" w:type="dxa"/>
            <w:vAlign w:val="center"/>
          </w:tcPr>
          <w:p>
            <w:pPr>
              <w:spacing w:line="400" w:lineRule="exact"/>
              <w:rPr>
                <w:rFonts w:hAnsi="宋体"/>
                <w:sz w:val="32"/>
                <w:szCs w:val="32"/>
                <w:highlight w:val="none"/>
              </w:rPr>
            </w:pPr>
            <w:r>
              <w:rPr>
                <w:rFonts w:hAnsi="宋体"/>
                <w:sz w:val="32"/>
                <w:szCs w:val="32"/>
                <w:highlight w:val="none"/>
              </w:rPr>
              <w:t>履约保证金</w:t>
            </w:r>
          </w:p>
        </w:tc>
        <w:tc>
          <w:tcPr>
            <w:tcW w:w="6351" w:type="dxa"/>
            <w:vAlign w:val="center"/>
          </w:tcPr>
          <w:p>
            <w:pPr>
              <w:spacing w:line="400" w:lineRule="exact"/>
              <w:rPr>
                <w:rFonts w:hAnsi="宋体"/>
                <w:sz w:val="32"/>
                <w:szCs w:val="32"/>
                <w:highlight w:val="none"/>
              </w:rPr>
            </w:pPr>
            <w:r>
              <w:rPr>
                <w:rFonts w:hAnsi="宋体"/>
                <w:sz w:val="32"/>
                <w:szCs w:val="32"/>
                <w:highlight w:val="none"/>
              </w:rPr>
              <w:t>本项目履约保证金为：人民币</w:t>
            </w:r>
            <w:r>
              <w:rPr>
                <w:rFonts w:hAnsi="宋体"/>
                <w:sz w:val="32"/>
                <w:szCs w:val="32"/>
                <w:highlight w:val="none"/>
                <w:u w:val="single"/>
              </w:rPr>
              <w:t>0</w:t>
            </w:r>
            <w:r>
              <w:rPr>
                <w:rFonts w:hAnsi="宋体"/>
                <w:sz w:val="32"/>
                <w:szCs w:val="32"/>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10.1</w:t>
            </w:r>
          </w:p>
        </w:tc>
        <w:tc>
          <w:tcPr>
            <w:tcW w:w="1689" w:type="dxa"/>
            <w:vAlign w:val="center"/>
          </w:tcPr>
          <w:p>
            <w:pPr>
              <w:spacing w:line="400" w:lineRule="exact"/>
              <w:rPr>
                <w:rFonts w:hAnsi="宋体"/>
                <w:sz w:val="32"/>
                <w:szCs w:val="32"/>
                <w:highlight w:val="none"/>
              </w:rPr>
            </w:pPr>
            <w:r>
              <w:rPr>
                <w:rFonts w:hAnsi="宋体"/>
                <w:sz w:val="32"/>
                <w:szCs w:val="32"/>
                <w:highlight w:val="none"/>
              </w:rPr>
              <w:t>比选最高限价</w:t>
            </w:r>
          </w:p>
        </w:tc>
        <w:tc>
          <w:tcPr>
            <w:tcW w:w="6351" w:type="dxa"/>
            <w:vAlign w:val="center"/>
          </w:tcPr>
          <w:p>
            <w:pPr>
              <w:spacing w:line="400" w:lineRule="exact"/>
              <w:rPr>
                <w:rFonts w:hAnsi="宋体"/>
                <w:sz w:val="32"/>
                <w:szCs w:val="32"/>
                <w:highlight w:val="none"/>
              </w:rPr>
            </w:pPr>
            <w:r>
              <w:rPr>
                <w:rFonts w:hAnsi="宋体"/>
                <w:sz w:val="32"/>
                <w:szCs w:val="32"/>
                <w:highlight w:val="none"/>
              </w:rPr>
              <w:t>最高限价为：人民币</w:t>
            </w:r>
            <w:r>
              <w:rPr>
                <w:rFonts w:hint="eastAsia" w:hAnsi="宋体"/>
                <w:sz w:val="32"/>
                <w:szCs w:val="32"/>
                <w:highlight w:val="none"/>
                <w:u w:val="single"/>
                <w:lang w:val="en-US" w:eastAsia="zh-CN"/>
              </w:rPr>
              <w:t>19.8</w:t>
            </w:r>
            <w:r>
              <w:rPr>
                <w:rFonts w:hAnsi="宋体"/>
                <w:sz w:val="32"/>
                <w:szCs w:val="32"/>
                <w:highlight w:val="none"/>
              </w:rPr>
              <w:t>万元，投标报价超过最高限价的，其比选申请文件将被否决。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32" w:type="dxa"/>
            <w:vAlign w:val="center"/>
          </w:tcPr>
          <w:p>
            <w:pPr>
              <w:spacing w:line="400" w:lineRule="exact"/>
              <w:jc w:val="center"/>
              <w:rPr>
                <w:rFonts w:hAnsi="宋体"/>
                <w:sz w:val="32"/>
                <w:szCs w:val="32"/>
                <w:highlight w:val="none"/>
              </w:rPr>
            </w:pPr>
            <w:r>
              <w:rPr>
                <w:rFonts w:hAnsi="宋体"/>
                <w:sz w:val="32"/>
                <w:szCs w:val="32"/>
                <w:highlight w:val="none"/>
              </w:rPr>
              <w:t>10.2</w:t>
            </w:r>
          </w:p>
        </w:tc>
        <w:tc>
          <w:tcPr>
            <w:tcW w:w="1689" w:type="dxa"/>
            <w:vAlign w:val="center"/>
          </w:tcPr>
          <w:p>
            <w:pPr>
              <w:spacing w:line="400" w:lineRule="exact"/>
              <w:jc w:val="center"/>
              <w:rPr>
                <w:rFonts w:hAnsi="宋体"/>
                <w:sz w:val="32"/>
                <w:szCs w:val="32"/>
                <w:highlight w:val="none"/>
              </w:rPr>
            </w:pPr>
            <w:r>
              <w:rPr>
                <w:rFonts w:hAnsi="宋体"/>
                <w:sz w:val="32"/>
                <w:szCs w:val="32"/>
                <w:highlight w:val="none"/>
              </w:rPr>
              <w:t>报价唯一</w:t>
            </w:r>
          </w:p>
        </w:tc>
        <w:tc>
          <w:tcPr>
            <w:tcW w:w="6351" w:type="dxa"/>
            <w:vAlign w:val="center"/>
          </w:tcPr>
          <w:p>
            <w:pPr>
              <w:spacing w:line="400" w:lineRule="exact"/>
              <w:rPr>
                <w:rFonts w:hAnsi="宋体"/>
                <w:sz w:val="32"/>
                <w:szCs w:val="32"/>
                <w:highlight w:val="none"/>
              </w:rPr>
            </w:pPr>
            <w:r>
              <w:rPr>
                <w:rFonts w:hAnsi="宋体"/>
                <w:sz w:val="32"/>
                <w:szCs w:val="32"/>
                <w:highlight w:val="none"/>
              </w:rPr>
              <w:t>只能有一个有效报价。即：</w:t>
            </w:r>
          </w:p>
          <w:p>
            <w:pPr>
              <w:spacing w:line="400" w:lineRule="exact"/>
              <w:rPr>
                <w:rFonts w:hAnsi="宋体"/>
                <w:sz w:val="32"/>
                <w:szCs w:val="32"/>
                <w:highlight w:val="none"/>
              </w:rPr>
            </w:pPr>
            <w:r>
              <w:rPr>
                <w:rFonts w:hAnsi="宋体"/>
                <w:sz w:val="32"/>
                <w:szCs w:val="32"/>
                <w:highlight w:val="none"/>
              </w:rPr>
              <w:t>（1）总价只允许有一个报价，任何有选择和保留的报价将不予接受。</w:t>
            </w:r>
          </w:p>
          <w:p>
            <w:pPr>
              <w:spacing w:line="400" w:lineRule="exact"/>
              <w:rPr>
                <w:rFonts w:hAnsi="宋体"/>
                <w:sz w:val="32"/>
                <w:szCs w:val="32"/>
                <w:highlight w:val="none"/>
              </w:rPr>
            </w:pPr>
            <w:r>
              <w:rPr>
                <w:rFonts w:hAnsi="宋体"/>
                <w:sz w:val="32"/>
                <w:szCs w:val="32"/>
                <w:highlight w:val="none"/>
              </w:rPr>
              <w:t>（2）比选申请报价表、比选申请函中比选总报价（大写），二者应完全一致（按要求小数点后四舍五入的除外）。</w:t>
            </w:r>
          </w:p>
        </w:tc>
      </w:tr>
    </w:tbl>
    <w:p>
      <w:pPr>
        <w:pStyle w:val="4"/>
        <w:adjustRightInd w:val="0"/>
        <w:snapToGrid w:val="0"/>
        <w:spacing w:before="0" w:after="0" w:line="560" w:lineRule="exact"/>
        <w:ind w:firstLine="643" w:firstLineChars="200"/>
        <w:rPr>
          <w:rFonts w:ascii="宋体" w:hAnsi="宋体" w:eastAsia="宋体"/>
          <w:highlight w:val="none"/>
        </w:rPr>
      </w:pPr>
      <w:bookmarkStart w:id="45" w:name="_Toc447725037"/>
      <w:bookmarkStart w:id="46" w:name="_Toc447639698"/>
      <w:bookmarkStart w:id="47" w:name="_Toc447541137"/>
      <w:bookmarkStart w:id="48" w:name="_Toc371633563"/>
      <w:bookmarkStart w:id="49" w:name="_Toc321038646"/>
      <w:bookmarkStart w:id="50" w:name="_Toc366566545"/>
      <w:bookmarkStart w:id="51" w:name="_Toc371324382"/>
      <w:r>
        <w:rPr>
          <w:rFonts w:ascii="宋体" w:hAnsi="宋体" w:eastAsia="宋体"/>
          <w:highlight w:val="none"/>
        </w:rPr>
        <w:t>1 总则</w:t>
      </w:r>
      <w:bookmarkEnd w:id="45"/>
      <w:bookmarkEnd w:id="46"/>
      <w:bookmarkEnd w:id="47"/>
    </w:p>
    <w:p>
      <w:pPr>
        <w:pStyle w:val="5"/>
        <w:spacing w:line="560" w:lineRule="exact"/>
        <w:ind w:firstLine="643" w:firstLineChars="200"/>
        <w:rPr>
          <w:rFonts w:ascii="宋体" w:hAnsi="宋体"/>
          <w:szCs w:val="24"/>
          <w:highlight w:val="none"/>
        </w:rPr>
      </w:pPr>
      <w:bookmarkStart w:id="52" w:name="_Toc447541138"/>
      <w:bookmarkStart w:id="53" w:name="_Toc447639699"/>
      <w:r>
        <w:rPr>
          <w:rFonts w:ascii="宋体" w:hAnsi="宋体"/>
          <w:szCs w:val="24"/>
          <w:highlight w:val="none"/>
        </w:rPr>
        <w:t>1.1 项目概况</w:t>
      </w:r>
      <w:bookmarkEnd w:id="52"/>
      <w:bookmarkEnd w:id="53"/>
    </w:p>
    <w:p>
      <w:pPr>
        <w:spacing w:line="560" w:lineRule="exact"/>
        <w:ind w:firstLine="640" w:firstLineChars="200"/>
        <w:rPr>
          <w:rFonts w:hAnsi="宋体"/>
          <w:sz w:val="32"/>
          <w:szCs w:val="32"/>
          <w:highlight w:val="none"/>
        </w:rPr>
      </w:pPr>
      <w:r>
        <w:rPr>
          <w:rFonts w:hAnsi="宋体"/>
          <w:sz w:val="32"/>
          <w:szCs w:val="32"/>
          <w:highlight w:val="none"/>
        </w:rPr>
        <w:t>详见比选申请人须知前附表</w:t>
      </w:r>
    </w:p>
    <w:p>
      <w:pPr>
        <w:pStyle w:val="5"/>
        <w:spacing w:line="560" w:lineRule="exact"/>
        <w:ind w:firstLine="643" w:firstLineChars="200"/>
        <w:rPr>
          <w:rFonts w:ascii="宋体" w:hAnsi="宋体"/>
          <w:szCs w:val="24"/>
          <w:highlight w:val="none"/>
        </w:rPr>
      </w:pPr>
      <w:bookmarkStart w:id="54" w:name="_Toc447541139"/>
      <w:bookmarkStart w:id="55" w:name="_Toc447639700"/>
      <w:r>
        <w:rPr>
          <w:rFonts w:ascii="宋体" w:hAnsi="宋体"/>
          <w:szCs w:val="24"/>
          <w:highlight w:val="none"/>
        </w:rPr>
        <w:t>1.2 资金来源和落实情况</w:t>
      </w:r>
      <w:bookmarkEnd w:id="54"/>
      <w:bookmarkEnd w:id="55"/>
    </w:p>
    <w:p>
      <w:pPr>
        <w:spacing w:line="560" w:lineRule="exact"/>
        <w:ind w:firstLine="640" w:firstLineChars="200"/>
        <w:rPr>
          <w:rFonts w:hAnsi="宋体"/>
          <w:sz w:val="32"/>
          <w:szCs w:val="32"/>
          <w:highlight w:val="none"/>
        </w:rPr>
      </w:pPr>
      <w:r>
        <w:rPr>
          <w:rFonts w:hAnsi="宋体"/>
          <w:sz w:val="32"/>
          <w:szCs w:val="32"/>
          <w:highlight w:val="none"/>
        </w:rPr>
        <w:t>1.2.1 本比选项目的资金来源：见比选申请人须知前附表。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1.2.2 本比选项目的资金落实情况：见比选申请人须知前附表。</w:t>
      </w:r>
    </w:p>
    <w:p>
      <w:pPr>
        <w:pStyle w:val="5"/>
        <w:spacing w:line="560" w:lineRule="exact"/>
        <w:ind w:firstLine="643" w:firstLineChars="200"/>
        <w:rPr>
          <w:rFonts w:ascii="宋体" w:hAnsi="宋体"/>
          <w:szCs w:val="24"/>
          <w:highlight w:val="none"/>
        </w:rPr>
      </w:pPr>
      <w:bookmarkStart w:id="56" w:name="_Toc447541140"/>
      <w:bookmarkStart w:id="57" w:name="_Toc447639701"/>
      <w:r>
        <w:rPr>
          <w:rFonts w:ascii="宋体" w:hAnsi="宋体"/>
          <w:szCs w:val="24"/>
          <w:highlight w:val="none"/>
        </w:rPr>
        <w:t>1.3 比选范围、计划工期和质量要求</w:t>
      </w:r>
      <w:bookmarkEnd w:id="56"/>
      <w:bookmarkEnd w:id="57"/>
    </w:p>
    <w:p>
      <w:pPr>
        <w:spacing w:line="560" w:lineRule="exact"/>
        <w:ind w:firstLine="640" w:firstLineChars="200"/>
        <w:rPr>
          <w:rFonts w:hAnsi="宋体"/>
          <w:sz w:val="32"/>
          <w:szCs w:val="32"/>
          <w:highlight w:val="none"/>
        </w:rPr>
      </w:pPr>
      <w:r>
        <w:rPr>
          <w:rFonts w:hAnsi="宋体"/>
          <w:sz w:val="32"/>
          <w:szCs w:val="32"/>
          <w:highlight w:val="none"/>
        </w:rPr>
        <w:t>1.3.1 本次比选范围：见比选申请人须知前附表。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1.3.2 本标段的计划</w:t>
      </w:r>
      <w:r>
        <w:rPr>
          <w:rFonts w:hint="eastAsia" w:hAnsi="宋体"/>
          <w:sz w:val="32"/>
          <w:szCs w:val="32"/>
          <w:highlight w:val="none"/>
          <w:lang w:val="en-US" w:eastAsia="zh-CN"/>
        </w:rPr>
        <w:t>服务</w:t>
      </w:r>
      <w:r>
        <w:rPr>
          <w:rFonts w:hAnsi="宋体"/>
          <w:sz w:val="32"/>
          <w:szCs w:val="32"/>
          <w:highlight w:val="none"/>
        </w:rPr>
        <w:t>期：</w:t>
      </w:r>
      <w:r>
        <w:rPr>
          <w:rFonts w:hint="eastAsia" w:hAnsi="宋体"/>
          <w:sz w:val="32"/>
          <w:szCs w:val="32"/>
          <w:highlight w:val="none"/>
          <w:lang w:val="en-US" w:eastAsia="zh-CN"/>
        </w:rPr>
        <w:t>4</w:t>
      </w:r>
      <w:r>
        <w:rPr>
          <w:rFonts w:hint="eastAsia" w:hAnsi="宋体"/>
          <w:sz w:val="32"/>
          <w:szCs w:val="32"/>
          <w:highlight w:val="none"/>
          <w:lang w:val="en-US" w:eastAsia="zh-CN"/>
        </w:rPr>
        <w:t>个月</w:t>
      </w:r>
      <w:r>
        <w:rPr>
          <w:rFonts w:hAnsi="宋体"/>
          <w:sz w:val="32"/>
          <w:szCs w:val="32"/>
          <w:highlight w:val="none"/>
        </w:rPr>
        <w:t>。</w:t>
      </w:r>
    </w:p>
    <w:p>
      <w:pPr>
        <w:spacing w:line="560" w:lineRule="exact"/>
        <w:ind w:firstLine="640" w:firstLineChars="200"/>
        <w:rPr>
          <w:rFonts w:hAnsi="宋体"/>
          <w:sz w:val="32"/>
          <w:szCs w:val="32"/>
          <w:highlight w:val="none"/>
        </w:rPr>
      </w:pPr>
      <w:r>
        <w:rPr>
          <w:rFonts w:hAnsi="宋体"/>
          <w:sz w:val="32"/>
          <w:szCs w:val="32"/>
          <w:highlight w:val="none"/>
        </w:rPr>
        <w:t>1.3.3 本标段的质量要求：省国资委、蜀道集团</w:t>
      </w:r>
      <w:r>
        <w:rPr>
          <w:rFonts w:hAnsi="宋体"/>
          <w:sz w:val="32"/>
          <w:szCs w:val="32"/>
          <w:highlight w:val="none"/>
          <w:lang w:eastAsia="zh-Hans"/>
        </w:rPr>
        <w:t>、蜀道物流集团</w:t>
      </w:r>
      <w:r>
        <w:rPr>
          <w:rFonts w:hAnsi="宋体"/>
          <w:sz w:val="32"/>
          <w:szCs w:val="32"/>
          <w:highlight w:val="none"/>
        </w:rPr>
        <w:t>及四川</w:t>
      </w:r>
      <w:r>
        <w:rPr>
          <w:rFonts w:hint="eastAsia" w:hAnsi="宋体"/>
          <w:sz w:val="32"/>
          <w:szCs w:val="32"/>
          <w:highlight w:val="none"/>
        </w:rPr>
        <w:t>蜀物蓉欧实业</w:t>
      </w:r>
      <w:r>
        <w:rPr>
          <w:rFonts w:hAnsi="宋体"/>
          <w:sz w:val="32"/>
          <w:szCs w:val="32"/>
          <w:highlight w:val="none"/>
        </w:rPr>
        <w:t>有限公司相关要求。</w:t>
      </w:r>
    </w:p>
    <w:p>
      <w:pPr>
        <w:pStyle w:val="5"/>
        <w:spacing w:line="560" w:lineRule="exact"/>
        <w:ind w:firstLine="643" w:firstLineChars="200"/>
        <w:rPr>
          <w:rFonts w:ascii="宋体" w:hAnsi="宋体"/>
          <w:szCs w:val="24"/>
          <w:highlight w:val="none"/>
        </w:rPr>
      </w:pPr>
      <w:bookmarkStart w:id="58" w:name="_Toc447639702"/>
      <w:bookmarkStart w:id="59" w:name="_Toc447541141"/>
      <w:r>
        <w:rPr>
          <w:rFonts w:ascii="宋体" w:hAnsi="宋体"/>
          <w:szCs w:val="24"/>
          <w:highlight w:val="none"/>
        </w:rPr>
        <w:t>1.4 比选申请人资格要求</w:t>
      </w:r>
      <w:bookmarkEnd w:id="58"/>
      <w:bookmarkEnd w:id="59"/>
    </w:p>
    <w:p>
      <w:pPr>
        <w:spacing w:line="560" w:lineRule="exact"/>
        <w:ind w:firstLine="640" w:firstLineChars="200"/>
        <w:rPr>
          <w:rFonts w:hAnsi="宋体"/>
          <w:sz w:val="32"/>
          <w:szCs w:val="32"/>
          <w:highlight w:val="none"/>
        </w:rPr>
      </w:pPr>
      <w:r>
        <w:rPr>
          <w:rFonts w:hAnsi="宋体"/>
          <w:sz w:val="32"/>
          <w:szCs w:val="32"/>
          <w:highlight w:val="none"/>
        </w:rPr>
        <w:t>1.4.1比选申请人是响应比选要求、符合比选公告规定的资格等条件并参加比选竞争的法人或者其他组织。比选申请人应具备承担本项目的资质条件、能力和信誉。</w:t>
      </w:r>
    </w:p>
    <w:p>
      <w:pPr>
        <w:spacing w:line="560" w:lineRule="exact"/>
        <w:ind w:firstLine="643" w:firstLineChars="200"/>
        <w:rPr>
          <w:rFonts w:hAnsi="宋体"/>
          <w:b/>
          <w:bCs/>
          <w:sz w:val="32"/>
          <w:szCs w:val="32"/>
          <w:highlight w:val="none"/>
        </w:rPr>
      </w:pPr>
      <w:r>
        <w:rPr>
          <w:rFonts w:hAnsi="宋体"/>
          <w:b/>
          <w:bCs/>
          <w:sz w:val="32"/>
          <w:szCs w:val="32"/>
          <w:highlight w:val="none"/>
        </w:rPr>
        <w:t>详见比选申请人须知前附表。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1.4.2本项目不接受联合体参加比选。</w:t>
      </w:r>
    </w:p>
    <w:p>
      <w:pPr>
        <w:spacing w:line="560" w:lineRule="exact"/>
        <w:ind w:firstLine="640" w:firstLineChars="200"/>
        <w:rPr>
          <w:rFonts w:hAnsi="宋体"/>
          <w:sz w:val="32"/>
          <w:szCs w:val="32"/>
          <w:highlight w:val="none"/>
        </w:rPr>
      </w:pPr>
      <w:r>
        <w:rPr>
          <w:rFonts w:hAnsi="宋体"/>
          <w:sz w:val="32"/>
          <w:szCs w:val="32"/>
          <w:highlight w:val="none"/>
        </w:rPr>
        <w:t>1.4.3对比选申请人资格的限制：</w:t>
      </w:r>
    </w:p>
    <w:p>
      <w:pPr>
        <w:spacing w:line="560" w:lineRule="exact"/>
        <w:ind w:firstLine="640" w:firstLineChars="200"/>
        <w:rPr>
          <w:rFonts w:hAnsi="宋体"/>
          <w:sz w:val="32"/>
          <w:szCs w:val="32"/>
          <w:highlight w:val="none"/>
        </w:rPr>
      </w:pPr>
      <w:r>
        <w:rPr>
          <w:rFonts w:hAnsi="宋体"/>
          <w:sz w:val="32"/>
          <w:szCs w:val="32"/>
          <w:highlight w:val="none"/>
        </w:rPr>
        <w:t>（1）法定代表人为同一个人的两个及两个以上法人，存在控股和被控股关系或者被同一法人控股的两个及两个以上法人，不得参加同一项目（合同段）的比选。</w:t>
      </w:r>
    </w:p>
    <w:p>
      <w:pPr>
        <w:spacing w:line="560" w:lineRule="exact"/>
        <w:ind w:firstLine="640" w:firstLineChars="200"/>
        <w:rPr>
          <w:rFonts w:hAnsi="宋体"/>
          <w:sz w:val="32"/>
          <w:szCs w:val="32"/>
          <w:highlight w:val="none"/>
        </w:rPr>
      </w:pPr>
      <w:r>
        <w:rPr>
          <w:rFonts w:hAnsi="宋体"/>
          <w:sz w:val="32"/>
          <w:szCs w:val="32"/>
          <w:highlight w:val="none"/>
        </w:rPr>
        <w:t>（2）被有关行政主管部门市场禁入的，在禁入期内不得参加比选。</w:t>
      </w:r>
    </w:p>
    <w:p>
      <w:pPr>
        <w:spacing w:line="560" w:lineRule="exact"/>
        <w:ind w:firstLine="640" w:firstLineChars="200"/>
        <w:rPr>
          <w:rFonts w:hAnsi="宋体"/>
          <w:sz w:val="32"/>
          <w:szCs w:val="32"/>
          <w:highlight w:val="none"/>
        </w:rPr>
      </w:pPr>
      <w:r>
        <w:rPr>
          <w:rFonts w:hAnsi="宋体"/>
          <w:sz w:val="32"/>
          <w:szCs w:val="32"/>
          <w:highlight w:val="none"/>
        </w:rPr>
        <w:t>1.4.4 具有上述情形之一，有不得参加或不符合条件的潜在比选申请人参加比选，比选人不予接受。即使中选，中选自始无效。造成比选人损失的，还应承担赔偿责任。</w:t>
      </w:r>
    </w:p>
    <w:p>
      <w:pPr>
        <w:pStyle w:val="5"/>
        <w:spacing w:line="560" w:lineRule="exact"/>
        <w:ind w:firstLine="643" w:firstLineChars="200"/>
        <w:rPr>
          <w:rFonts w:ascii="宋体" w:hAnsi="宋体"/>
          <w:szCs w:val="24"/>
          <w:highlight w:val="none"/>
        </w:rPr>
      </w:pPr>
      <w:bookmarkStart w:id="60" w:name="_Toc447639703"/>
      <w:bookmarkStart w:id="61" w:name="_Toc447541142"/>
      <w:r>
        <w:rPr>
          <w:rFonts w:ascii="宋体" w:hAnsi="宋体"/>
          <w:szCs w:val="24"/>
          <w:highlight w:val="none"/>
        </w:rPr>
        <w:t>1.5 费用承担</w:t>
      </w:r>
      <w:bookmarkEnd w:id="60"/>
      <w:bookmarkEnd w:id="61"/>
    </w:p>
    <w:p>
      <w:pPr>
        <w:spacing w:line="560" w:lineRule="exact"/>
        <w:ind w:firstLine="640" w:firstLineChars="200"/>
        <w:rPr>
          <w:rFonts w:hAnsi="宋体"/>
          <w:sz w:val="32"/>
          <w:szCs w:val="32"/>
          <w:highlight w:val="none"/>
        </w:rPr>
      </w:pPr>
      <w:r>
        <w:rPr>
          <w:rFonts w:hAnsi="宋体"/>
          <w:sz w:val="32"/>
          <w:szCs w:val="32"/>
          <w:highlight w:val="none"/>
        </w:rPr>
        <w:t>无论中选与否，因比选所发生的一切费用，由比选申请人自行承担，无补偿，所有比选申请人的比选申请文件均不予返还。</w:t>
      </w:r>
    </w:p>
    <w:p>
      <w:pPr>
        <w:pStyle w:val="5"/>
        <w:spacing w:line="560" w:lineRule="exact"/>
        <w:ind w:firstLine="643" w:firstLineChars="200"/>
        <w:rPr>
          <w:rFonts w:ascii="宋体" w:hAnsi="宋体"/>
          <w:szCs w:val="24"/>
          <w:highlight w:val="none"/>
        </w:rPr>
      </w:pPr>
      <w:bookmarkStart w:id="62" w:name="_Toc447639704"/>
      <w:bookmarkStart w:id="63" w:name="_Toc447541143"/>
      <w:r>
        <w:rPr>
          <w:rFonts w:ascii="宋体" w:hAnsi="宋体"/>
          <w:szCs w:val="24"/>
          <w:highlight w:val="none"/>
        </w:rPr>
        <w:t>1.6 保密</w:t>
      </w:r>
      <w:bookmarkEnd w:id="62"/>
      <w:bookmarkEnd w:id="63"/>
    </w:p>
    <w:p>
      <w:pPr>
        <w:spacing w:line="560" w:lineRule="exact"/>
        <w:ind w:firstLine="640" w:firstLineChars="200"/>
        <w:rPr>
          <w:rFonts w:hAnsi="宋体"/>
          <w:sz w:val="32"/>
          <w:szCs w:val="32"/>
          <w:highlight w:val="none"/>
        </w:rPr>
      </w:pPr>
      <w:r>
        <w:rPr>
          <w:rFonts w:hAnsi="宋体"/>
          <w:sz w:val="32"/>
          <w:szCs w:val="32"/>
          <w:highlight w:val="none"/>
        </w:rPr>
        <w:t>参与比选活动的各方应对比选文件和比选申请文件中的商业和技术等秘密保密，违者应对由此造成的后果承担法律责任。</w:t>
      </w:r>
    </w:p>
    <w:p>
      <w:pPr>
        <w:pStyle w:val="5"/>
        <w:spacing w:line="560" w:lineRule="exact"/>
        <w:ind w:firstLine="643" w:firstLineChars="200"/>
        <w:rPr>
          <w:rFonts w:ascii="宋体" w:hAnsi="宋体"/>
          <w:szCs w:val="24"/>
          <w:highlight w:val="none"/>
        </w:rPr>
      </w:pPr>
      <w:bookmarkStart w:id="64" w:name="_Toc447541144"/>
      <w:bookmarkStart w:id="65" w:name="_Toc447639705"/>
      <w:r>
        <w:rPr>
          <w:rFonts w:ascii="宋体" w:hAnsi="宋体"/>
          <w:szCs w:val="24"/>
          <w:highlight w:val="none"/>
        </w:rPr>
        <w:t>1.7 语言文字</w:t>
      </w:r>
      <w:bookmarkEnd w:id="64"/>
      <w:bookmarkEnd w:id="65"/>
    </w:p>
    <w:p>
      <w:pPr>
        <w:spacing w:line="560" w:lineRule="exact"/>
        <w:ind w:firstLine="640" w:firstLineChars="200"/>
        <w:rPr>
          <w:rFonts w:hAnsi="宋体"/>
          <w:sz w:val="32"/>
          <w:szCs w:val="32"/>
          <w:highlight w:val="none"/>
        </w:rPr>
      </w:pPr>
      <w:r>
        <w:rPr>
          <w:rFonts w:hAnsi="宋体"/>
          <w:sz w:val="32"/>
          <w:szCs w:val="32"/>
          <w:highlight w:val="none"/>
        </w:rPr>
        <w:t>除专用术语外，与比选有关的语言均使用中文。必要时专用术语应附有中文注释。</w:t>
      </w:r>
    </w:p>
    <w:p>
      <w:pPr>
        <w:pStyle w:val="5"/>
        <w:spacing w:line="560" w:lineRule="exact"/>
        <w:ind w:firstLine="643" w:firstLineChars="200"/>
        <w:rPr>
          <w:rFonts w:ascii="宋体" w:hAnsi="宋体"/>
          <w:szCs w:val="24"/>
          <w:highlight w:val="none"/>
        </w:rPr>
      </w:pPr>
      <w:bookmarkStart w:id="66" w:name="_Toc447541145"/>
      <w:bookmarkStart w:id="67" w:name="_Toc447639706"/>
      <w:r>
        <w:rPr>
          <w:rFonts w:ascii="宋体" w:hAnsi="宋体"/>
          <w:szCs w:val="24"/>
          <w:highlight w:val="none"/>
        </w:rPr>
        <w:t>1.8 计量单位</w:t>
      </w:r>
      <w:bookmarkEnd w:id="66"/>
      <w:bookmarkEnd w:id="67"/>
    </w:p>
    <w:p>
      <w:pPr>
        <w:spacing w:line="560" w:lineRule="exact"/>
        <w:ind w:firstLine="640" w:firstLineChars="200"/>
        <w:rPr>
          <w:rFonts w:hAnsi="宋体"/>
          <w:sz w:val="32"/>
          <w:szCs w:val="32"/>
          <w:highlight w:val="none"/>
        </w:rPr>
      </w:pPr>
      <w:r>
        <w:rPr>
          <w:rFonts w:hAnsi="宋体"/>
          <w:sz w:val="32"/>
          <w:szCs w:val="32"/>
          <w:highlight w:val="none"/>
        </w:rPr>
        <w:t>所有计量均采用中华人民共和国法定计量单位。</w:t>
      </w:r>
    </w:p>
    <w:p>
      <w:pPr>
        <w:pStyle w:val="5"/>
        <w:spacing w:line="560" w:lineRule="exact"/>
        <w:ind w:firstLine="643" w:firstLineChars="200"/>
        <w:rPr>
          <w:rFonts w:ascii="宋体" w:hAnsi="宋体"/>
          <w:szCs w:val="24"/>
          <w:highlight w:val="none"/>
        </w:rPr>
      </w:pPr>
      <w:bookmarkStart w:id="68" w:name="_Toc447541146"/>
      <w:bookmarkStart w:id="69" w:name="_Toc447639707"/>
      <w:r>
        <w:rPr>
          <w:rFonts w:ascii="宋体" w:hAnsi="宋体"/>
          <w:szCs w:val="24"/>
          <w:highlight w:val="none"/>
        </w:rPr>
        <w:t>1.9 踏勘现场</w:t>
      </w:r>
      <w:bookmarkEnd w:id="68"/>
      <w:bookmarkEnd w:id="69"/>
    </w:p>
    <w:p>
      <w:pPr>
        <w:spacing w:line="560" w:lineRule="exact"/>
        <w:ind w:firstLine="640" w:firstLineChars="200"/>
        <w:rPr>
          <w:rFonts w:hAnsi="宋体"/>
          <w:sz w:val="32"/>
          <w:szCs w:val="32"/>
          <w:highlight w:val="none"/>
        </w:rPr>
      </w:pPr>
      <w:r>
        <w:rPr>
          <w:rFonts w:hAnsi="宋体"/>
          <w:sz w:val="32"/>
          <w:szCs w:val="32"/>
          <w:highlight w:val="none"/>
        </w:rPr>
        <w:t>不组织现场踏勘。</w:t>
      </w:r>
    </w:p>
    <w:p>
      <w:pPr>
        <w:pStyle w:val="5"/>
        <w:spacing w:line="560" w:lineRule="exact"/>
        <w:ind w:firstLine="643" w:firstLineChars="200"/>
        <w:rPr>
          <w:rFonts w:ascii="宋体" w:hAnsi="宋体"/>
          <w:szCs w:val="24"/>
          <w:highlight w:val="none"/>
        </w:rPr>
      </w:pPr>
      <w:bookmarkStart w:id="70" w:name="_Toc447639709"/>
      <w:bookmarkStart w:id="71" w:name="_Toc447541148"/>
      <w:r>
        <w:rPr>
          <w:rFonts w:ascii="宋体" w:hAnsi="宋体"/>
          <w:szCs w:val="24"/>
          <w:highlight w:val="none"/>
        </w:rPr>
        <w:t>1.10 偏离</w:t>
      </w:r>
      <w:bookmarkEnd w:id="70"/>
      <w:bookmarkEnd w:id="71"/>
    </w:p>
    <w:p>
      <w:pPr>
        <w:spacing w:line="560" w:lineRule="exact"/>
        <w:ind w:firstLine="640" w:firstLineChars="200"/>
        <w:rPr>
          <w:rFonts w:hAnsi="宋体"/>
          <w:sz w:val="32"/>
          <w:szCs w:val="32"/>
          <w:highlight w:val="none"/>
        </w:rPr>
      </w:pPr>
      <w:r>
        <w:rPr>
          <w:rFonts w:hAnsi="宋体"/>
          <w:sz w:val="32"/>
          <w:szCs w:val="32"/>
          <w:highlight w:val="none"/>
        </w:rPr>
        <w:t>不允许负偏离。</w:t>
      </w:r>
      <w:bookmarkEnd w:id="48"/>
      <w:bookmarkEnd w:id="49"/>
      <w:bookmarkEnd w:id="50"/>
      <w:bookmarkEnd w:id="51"/>
    </w:p>
    <w:p>
      <w:pPr>
        <w:pStyle w:val="4"/>
        <w:adjustRightInd w:val="0"/>
        <w:snapToGrid w:val="0"/>
        <w:spacing w:before="0" w:after="0" w:line="560" w:lineRule="exact"/>
        <w:ind w:firstLine="643" w:firstLineChars="200"/>
        <w:rPr>
          <w:rFonts w:ascii="宋体" w:hAnsi="宋体" w:eastAsia="宋体"/>
          <w:szCs w:val="32"/>
          <w:highlight w:val="none"/>
        </w:rPr>
      </w:pPr>
      <w:bookmarkStart w:id="72" w:name="_Toc447725038"/>
      <w:bookmarkStart w:id="73" w:name="_Toc321038659"/>
      <w:bookmarkStart w:id="74" w:name="_Toc447639710"/>
      <w:bookmarkStart w:id="75" w:name="_Toc371324395"/>
      <w:bookmarkStart w:id="76" w:name="_Toc366566558"/>
      <w:bookmarkStart w:id="77" w:name="_Toc371633576"/>
      <w:bookmarkStart w:id="78" w:name="_Toc447541149"/>
      <w:r>
        <w:rPr>
          <w:rFonts w:ascii="宋体" w:hAnsi="宋体" w:eastAsia="宋体"/>
          <w:szCs w:val="32"/>
          <w:highlight w:val="none"/>
        </w:rPr>
        <w:t>2 比选文件</w:t>
      </w:r>
      <w:bookmarkEnd w:id="72"/>
      <w:bookmarkEnd w:id="73"/>
      <w:bookmarkEnd w:id="74"/>
      <w:bookmarkEnd w:id="75"/>
      <w:bookmarkEnd w:id="76"/>
      <w:bookmarkEnd w:id="77"/>
      <w:bookmarkEnd w:id="78"/>
      <w:bookmarkStart w:id="79" w:name="_Toc313863627"/>
      <w:bookmarkEnd w:id="79"/>
      <w:bookmarkStart w:id="80" w:name="_Toc316632955"/>
      <w:bookmarkEnd w:id="80"/>
    </w:p>
    <w:p>
      <w:pPr>
        <w:pStyle w:val="5"/>
        <w:spacing w:line="560" w:lineRule="exact"/>
        <w:ind w:firstLine="643" w:firstLineChars="200"/>
        <w:rPr>
          <w:rFonts w:ascii="宋体" w:hAnsi="宋体"/>
          <w:szCs w:val="32"/>
          <w:highlight w:val="none"/>
        </w:rPr>
      </w:pPr>
      <w:bookmarkStart w:id="81" w:name="_Toc321038660"/>
      <w:bookmarkStart w:id="82" w:name="_Toc447639711"/>
      <w:bookmarkStart w:id="83" w:name="_Toc371324396"/>
      <w:bookmarkStart w:id="84" w:name="_Toc371633577"/>
      <w:bookmarkStart w:id="85" w:name="_Toc366566559"/>
      <w:bookmarkStart w:id="86" w:name="_Toc447541150"/>
      <w:r>
        <w:rPr>
          <w:rFonts w:ascii="宋体" w:hAnsi="宋体"/>
          <w:szCs w:val="32"/>
          <w:highlight w:val="none"/>
        </w:rPr>
        <w:t>2.1 比选文件的组成</w:t>
      </w:r>
      <w:bookmarkEnd w:id="81"/>
      <w:bookmarkEnd w:id="82"/>
      <w:bookmarkEnd w:id="83"/>
      <w:bookmarkEnd w:id="84"/>
      <w:bookmarkEnd w:id="85"/>
      <w:bookmarkEnd w:id="86"/>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本比选文件包括：</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（1）比选公告；</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（2）比选申请人须知；</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（3）评审办法；</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（4）合同条款及格式；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（5）比选申请文件格式。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比选申请人应认真检查比选文件是否完整，若发现缺页或不全时，应及时向比选人提出，以便补齐。</w:t>
      </w:r>
    </w:p>
    <w:p>
      <w:pPr>
        <w:pStyle w:val="5"/>
        <w:spacing w:line="560" w:lineRule="exact"/>
        <w:ind w:firstLine="643" w:firstLineChars="200"/>
        <w:rPr>
          <w:rFonts w:ascii="宋体" w:hAnsi="宋体"/>
          <w:szCs w:val="32"/>
          <w:highlight w:val="none"/>
        </w:rPr>
      </w:pPr>
      <w:bookmarkStart w:id="87" w:name="_Toc447541151"/>
      <w:bookmarkStart w:id="88" w:name="_Toc447639712"/>
      <w:r>
        <w:rPr>
          <w:rFonts w:ascii="宋体" w:hAnsi="宋体"/>
          <w:szCs w:val="32"/>
          <w:highlight w:val="none"/>
        </w:rPr>
        <w:t>2.2 答疑</w:t>
      </w:r>
      <w:bookmarkEnd w:id="87"/>
      <w:bookmarkEnd w:id="88"/>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比选文件发出后不再进行答疑。</w:t>
      </w:r>
    </w:p>
    <w:p>
      <w:pPr>
        <w:pStyle w:val="4"/>
        <w:adjustRightInd w:val="0"/>
        <w:snapToGrid w:val="0"/>
        <w:spacing w:before="0" w:after="0" w:line="560" w:lineRule="exact"/>
        <w:ind w:firstLine="643" w:firstLineChars="200"/>
        <w:rPr>
          <w:rFonts w:ascii="宋体" w:hAnsi="宋体" w:eastAsia="宋体"/>
          <w:szCs w:val="32"/>
          <w:highlight w:val="none"/>
        </w:rPr>
      </w:pPr>
      <w:bookmarkStart w:id="89" w:name="_Toc447725039"/>
      <w:bookmarkStart w:id="90" w:name="_Toc447639713"/>
      <w:bookmarkStart w:id="91" w:name="_Toc447541152"/>
      <w:r>
        <w:rPr>
          <w:rFonts w:ascii="宋体" w:hAnsi="宋体" w:eastAsia="宋体"/>
          <w:szCs w:val="32"/>
          <w:highlight w:val="none"/>
        </w:rPr>
        <w:t>3 比选申请文件</w:t>
      </w:r>
      <w:bookmarkEnd w:id="89"/>
      <w:bookmarkEnd w:id="90"/>
      <w:bookmarkEnd w:id="91"/>
    </w:p>
    <w:p>
      <w:pPr>
        <w:pStyle w:val="5"/>
        <w:spacing w:line="560" w:lineRule="exact"/>
        <w:ind w:firstLine="643" w:firstLineChars="200"/>
        <w:rPr>
          <w:rFonts w:ascii="宋体" w:hAnsi="宋体"/>
          <w:szCs w:val="32"/>
          <w:highlight w:val="none"/>
        </w:rPr>
      </w:pPr>
      <w:bookmarkStart w:id="92" w:name="_Toc447639714"/>
      <w:bookmarkStart w:id="93" w:name="_Toc447541153"/>
      <w:r>
        <w:rPr>
          <w:rFonts w:ascii="宋体" w:hAnsi="宋体"/>
          <w:szCs w:val="32"/>
          <w:highlight w:val="none"/>
        </w:rPr>
        <w:t>3.1 比选申请文件的构成</w:t>
      </w:r>
      <w:bookmarkEnd w:id="92"/>
      <w:bookmarkEnd w:id="93"/>
    </w:p>
    <w:p>
      <w:pPr>
        <w:spacing w:line="560" w:lineRule="exact"/>
        <w:ind w:firstLine="640" w:firstLineChars="200"/>
        <w:rPr>
          <w:rFonts w:hAnsi="宋体"/>
          <w:sz w:val="32"/>
          <w:szCs w:val="32"/>
          <w:highlight w:val="none"/>
        </w:rPr>
      </w:pPr>
      <w:r>
        <w:rPr>
          <w:rFonts w:hAnsi="宋体"/>
          <w:sz w:val="32"/>
          <w:szCs w:val="32"/>
          <w:highlight w:val="none"/>
        </w:rPr>
        <w:t>3.1.1 比选申请人应根据比选文件的要求编制比选申请文件。</w:t>
      </w:r>
    </w:p>
    <w:p>
      <w:pPr>
        <w:spacing w:line="560" w:lineRule="exact"/>
        <w:ind w:firstLine="640" w:firstLineChars="200"/>
        <w:rPr>
          <w:rFonts w:hAnsi="宋体"/>
          <w:sz w:val="32"/>
          <w:szCs w:val="32"/>
          <w:highlight w:val="none"/>
        </w:rPr>
      </w:pPr>
      <w:r>
        <w:rPr>
          <w:rFonts w:hAnsi="宋体"/>
          <w:sz w:val="32"/>
          <w:szCs w:val="32"/>
          <w:highlight w:val="none"/>
        </w:rPr>
        <w:t>3.1.2 比选申请文件递交截止时间见比选申请人须知前附表。</w:t>
      </w:r>
    </w:p>
    <w:p>
      <w:pPr>
        <w:pStyle w:val="5"/>
        <w:spacing w:line="560" w:lineRule="exact"/>
        <w:ind w:firstLine="643" w:firstLineChars="200"/>
        <w:rPr>
          <w:rFonts w:ascii="宋体" w:hAnsi="宋体"/>
          <w:szCs w:val="32"/>
          <w:highlight w:val="none"/>
        </w:rPr>
      </w:pPr>
      <w:bookmarkStart w:id="94" w:name="_Toc447639715"/>
      <w:bookmarkStart w:id="95" w:name="_Toc447541154"/>
      <w:r>
        <w:rPr>
          <w:rFonts w:ascii="宋体" w:hAnsi="宋体"/>
          <w:szCs w:val="32"/>
          <w:highlight w:val="none"/>
        </w:rPr>
        <w:t>3.2 比选报价</w:t>
      </w:r>
      <w:bookmarkEnd w:id="94"/>
      <w:bookmarkEnd w:id="95"/>
    </w:p>
    <w:p>
      <w:pPr>
        <w:pStyle w:val="13"/>
        <w:spacing w:before="0" w:beforeAutospacing="0" w:after="0" w:afterAutospacing="0" w:line="560" w:lineRule="exact"/>
        <w:ind w:firstLine="640" w:firstLineChars="200"/>
        <w:rPr>
          <w:rFonts w:cs="Times New Roman"/>
          <w:sz w:val="32"/>
          <w:szCs w:val="32"/>
          <w:highlight w:val="none"/>
        </w:rPr>
      </w:pPr>
      <w:r>
        <w:rPr>
          <w:rFonts w:cs="Times New Roman"/>
          <w:sz w:val="32"/>
          <w:szCs w:val="32"/>
          <w:highlight w:val="none"/>
        </w:rPr>
        <w:t>3.2.1 比选申请人应按第五章“比选申请文件格式”的要求填写相应表格。</w:t>
      </w:r>
    </w:p>
    <w:p>
      <w:pPr>
        <w:pStyle w:val="13"/>
        <w:spacing w:before="0" w:beforeAutospacing="0" w:after="0" w:afterAutospacing="0" w:line="560" w:lineRule="exact"/>
        <w:ind w:firstLine="640" w:firstLineChars="200"/>
        <w:rPr>
          <w:rFonts w:cs="Times New Roman"/>
          <w:sz w:val="32"/>
          <w:szCs w:val="32"/>
          <w:highlight w:val="none"/>
        </w:rPr>
      </w:pPr>
      <w:r>
        <w:rPr>
          <w:rFonts w:cs="Times New Roman"/>
          <w:sz w:val="32"/>
          <w:szCs w:val="32"/>
          <w:highlight w:val="none"/>
        </w:rPr>
        <w:t>3.2.2 比选申请人在比选截止时间前修改比选申请函中的总报价，应同时修改 “比选报价表”中的相应报价。此修改须符合本章第4.3 款的有关要求。</w:t>
      </w:r>
    </w:p>
    <w:p>
      <w:pPr>
        <w:pStyle w:val="5"/>
        <w:spacing w:line="560" w:lineRule="exact"/>
        <w:ind w:firstLine="643" w:firstLineChars="200"/>
        <w:rPr>
          <w:rFonts w:ascii="宋体" w:hAnsi="宋体"/>
          <w:szCs w:val="32"/>
          <w:highlight w:val="none"/>
        </w:rPr>
      </w:pPr>
      <w:bookmarkStart w:id="96" w:name="_Toc323194008"/>
      <w:bookmarkStart w:id="97" w:name="_Toc447639716"/>
      <w:r>
        <w:rPr>
          <w:rFonts w:ascii="宋体" w:hAnsi="宋体"/>
          <w:szCs w:val="32"/>
          <w:highlight w:val="none"/>
        </w:rPr>
        <w:t xml:space="preserve">3.3 </w:t>
      </w:r>
      <w:bookmarkEnd w:id="96"/>
      <w:r>
        <w:rPr>
          <w:rFonts w:ascii="宋体" w:hAnsi="宋体"/>
          <w:szCs w:val="32"/>
          <w:highlight w:val="none"/>
        </w:rPr>
        <w:t>比选申请有效期</w:t>
      </w:r>
      <w:bookmarkEnd w:id="97"/>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3.3.1 在比选申请人须知前附表规定的比选申请有效期内，比选申请人不得要求撤销或修改其比选申请文件。</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 xml:space="preserve">3.3.2 出现特殊情况需要延长比选申请有效期的，比选人以书面形式通知所有比选申请人延长比选申请有效期。比选申请人同意延长的，应相应延长其比选保证金的有效期（如有），但不得要求或被允许修改或撤销其比选申请文件；比选申请人拒绝延长的，其比选申请失效，但比选申请人有权收回其比选保证金（如有）。 </w:t>
      </w:r>
    </w:p>
    <w:p>
      <w:pPr>
        <w:pStyle w:val="5"/>
        <w:spacing w:line="560" w:lineRule="exact"/>
        <w:ind w:firstLine="643" w:firstLineChars="200"/>
        <w:rPr>
          <w:rFonts w:ascii="宋体" w:hAnsi="宋体"/>
          <w:szCs w:val="32"/>
          <w:highlight w:val="none"/>
        </w:rPr>
      </w:pPr>
      <w:bookmarkStart w:id="98" w:name="_Toc447639717"/>
      <w:bookmarkStart w:id="99" w:name="_Toc447541155"/>
      <w:r>
        <w:rPr>
          <w:rFonts w:ascii="宋体" w:hAnsi="宋体"/>
          <w:szCs w:val="32"/>
          <w:highlight w:val="none"/>
        </w:rPr>
        <w:t>3.4 比选保证金</w:t>
      </w:r>
      <w:bookmarkEnd w:id="98"/>
      <w:bookmarkEnd w:id="99"/>
    </w:p>
    <w:p>
      <w:pPr>
        <w:spacing w:line="560" w:lineRule="exact"/>
        <w:ind w:firstLine="640" w:firstLineChars="200"/>
        <w:rPr>
          <w:rFonts w:hAnsi="宋体"/>
          <w:sz w:val="32"/>
          <w:szCs w:val="32"/>
          <w:highlight w:val="none"/>
        </w:rPr>
      </w:pPr>
      <w:r>
        <w:rPr>
          <w:rFonts w:hAnsi="宋体"/>
          <w:sz w:val="32"/>
          <w:szCs w:val="32"/>
          <w:highlight w:val="none"/>
        </w:rPr>
        <w:t>本项目比选保证金为：人民币</w:t>
      </w:r>
      <w:r>
        <w:rPr>
          <w:rFonts w:hAnsi="宋体"/>
          <w:sz w:val="32"/>
          <w:szCs w:val="32"/>
          <w:highlight w:val="none"/>
          <w:u w:val="single"/>
        </w:rPr>
        <w:t>0</w:t>
      </w:r>
      <w:r>
        <w:rPr>
          <w:rFonts w:hAnsi="宋体"/>
          <w:sz w:val="32"/>
          <w:szCs w:val="32"/>
          <w:highlight w:val="none"/>
        </w:rPr>
        <w:t>万元（大写：零万元整）。</w:t>
      </w:r>
    </w:p>
    <w:p>
      <w:pPr>
        <w:pStyle w:val="5"/>
        <w:spacing w:line="560" w:lineRule="exact"/>
        <w:ind w:firstLine="643" w:firstLineChars="200"/>
        <w:rPr>
          <w:rFonts w:ascii="宋体" w:hAnsi="宋体"/>
          <w:szCs w:val="32"/>
          <w:highlight w:val="none"/>
        </w:rPr>
      </w:pPr>
      <w:bookmarkStart w:id="100" w:name="_Toc447541156"/>
      <w:bookmarkStart w:id="101" w:name="_Toc447639718"/>
      <w:r>
        <w:rPr>
          <w:rFonts w:ascii="宋体" w:hAnsi="宋体"/>
          <w:szCs w:val="32"/>
          <w:highlight w:val="none"/>
        </w:rPr>
        <w:t>3.5 资格审查资料</w:t>
      </w:r>
      <w:bookmarkEnd w:id="100"/>
      <w:bookmarkEnd w:id="101"/>
    </w:p>
    <w:p>
      <w:pPr>
        <w:spacing w:line="560" w:lineRule="exact"/>
        <w:ind w:firstLine="643" w:firstLineChars="200"/>
        <w:rPr>
          <w:rFonts w:hAnsi="宋体"/>
          <w:b/>
          <w:bCs/>
          <w:sz w:val="32"/>
          <w:szCs w:val="32"/>
          <w:highlight w:val="none"/>
        </w:rPr>
      </w:pPr>
      <w:r>
        <w:rPr>
          <w:rFonts w:hAnsi="宋体"/>
          <w:b/>
          <w:bCs/>
          <w:sz w:val="32"/>
          <w:szCs w:val="32"/>
          <w:highlight w:val="none"/>
        </w:rPr>
        <w:t>详见“比选申请文件格式”要求。</w:t>
      </w:r>
    </w:p>
    <w:p>
      <w:pPr>
        <w:pStyle w:val="5"/>
        <w:spacing w:line="560" w:lineRule="exact"/>
        <w:ind w:firstLine="643" w:firstLineChars="200"/>
        <w:rPr>
          <w:rFonts w:ascii="宋体" w:hAnsi="宋体"/>
          <w:szCs w:val="32"/>
          <w:highlight w:val="none"/>
        </w:rPr>
      </w:pPr>
      <w:bookmarkStart w:id="102" w:name="_Toc447541157"/>
      <w:bookmarkStart w:id="103" w:name="_Toc447639719"/>
      <w:r>
        <w:rPr>
          <w:rFonts w:ascii="宋体" w:hAnsi="宋体"/>
          <w:szCs w:val="32"/>
          <w:highlight w:val="none"/>
        </w:rPr>
        <w:t>3.6 备选方案</w:t>
      </w:r>
      <w:bookmarkEnd w:id="102"/>
      <w:bookmarkEnd w:id="103"/>
    </w:p>
    <w:p>
      <w:pPr>
        <w:spacing w:line="560" w:lineRule="exact"/>
        <w:ind w:firstLine="640" w:firstLineChars="200"/>
        <w:rPr>
          <w:rFonts w:hAnsi="宋体"/>
          <w:sz w:val="32"/>
          <w:szCs w:val="32"/>
          <w:highlight w:val="none"/>
        </w:rPr>
      </w:pPr>
      <w:r>
        <w:rPr>
          <w:rFonts w:hAnsi="宋体"/>
          <w:sz w:val="32"/>
          <w:szCs w:val="32"/>
          <w:highlight w:val="none"/>
        </w:rPr>
        <w:t>比选申请人不得递交备选比选申请方案</w:t>
      </w:r>
    </w:p>
    <w:p>
      <w:pPr>
        <w:pStyle w:val="5"/>
        <w:spacing w:line="560" w:lineRule="exact"/>
        <w:ind w:firstLine="643" w:firstLineChars="200"/>
        <w:rPr>
          <w:rFonts w:ascii="宋体" w:hAnsi="宋体"/>
          <w:szCs w:val="32"/>
          <w:highlight w:val="none"/>
        </w:rPr>
      </w:pPr>
      <w:bookmarkStart w:id="104" w:name="_Toc447541158"/>
      <w:bookmarkStart w:id="105" w:name="_Toc447639720"/>
      <w:r>
        <w:rPr>
          <w:rFonts w:ascii="宋体" w:hAnsi="宋体"/>
          <w:szCs w:val="32"/>
          <w:highlight w:val="none"/>
        </w:rPr>
        <w:t>3.7 比选申请文件的编制</w:t>
      </w:r>
      <w:bookmarkEnd w:id="104"/>
      <w:bookmarkEnd w:id="105"/>
    </w:p>
    <w:p>
      <w:pPr>
        <w:spacing w:line="560" w:lineRule="exact"/>
        <w:ind w:firstLine="640" w:firstLineChars="200"/>
        <w:rPr>
          <w:rFonts w:hAnsi="宋体"/>
          <w:sz w:val="32"/>
          <w:szCs w:val="32"/>
          <w:highlight w:val="none"/>
        </w:rPr>
      </w:pPr>
      <w:r>
        <w:rPr>
          <w:rFonts w:hAnsi="宋体"/>
          <w:sz w:val="32"/>
          <w:szCs w:val="32"/>
          <w:highlight w:val="none"/>
        </w:rPr>
        <w:t>3.7.1 比选申请文件应按“比选申请文件格式”进行编写，如有必要，可以增加附页，作为比选申请文件的组成部分。其中，比选申请文件在满足比选文件实质性要求的基础上，可以提出比比选文件要求更有利于比选人的承诺。</w:t>
      </w:r>
    </w:p>
    <w:p>
      <w:pPr>
        <w:spacing w:line="560" w:lineRule="exact"/>
        <w:ind w:firstLine="640" w:firstLineChars="200"/>
        <w:rPr>
          <w:rFonts w:hAnsi="宋体"/>
          <w:sz w:val="32"/>
          <w:szCs w:val="32"/>
          <w:highlight w:val="none"/>
        </w:rPr>
      </w:pPr>
      <w:r>
        <w:rPr>
          <w:rFonts w:hAnsi="宋体"/>
          <w:sz w:val="32"/>
          <w:szCs w:val="32"/>
          <w:highlight w:val="none"/>
        </w:rPr>
        <w:t>3.7.2 比选申请文件应当对比选文件有关工期、比选申请有效期、质量要求、服务标准和要求、比选范围等实质性内容作出响应。</w:t>
      </w:r>
    </w:p>
    <w:p>
      <w:pPr>
        <w:spacing w:line="560" w:lineRule="exact"/>
        <w:ind w:firstLine="640" w:firstLineChars="200"/>
        <w:rPr>
          <w:rFonts w:hAnsi="宋体"/>
          <w:sz w:val="32"/>
          <w:szCs w:val="32"/>
          <w:highlight w:val="none"/>
        </w:rPr>
      </w:pPr>
      <w:r>
        <w:rPr>
          <w:rFonts w:hAnsi="宋体"/>
          <w:sz w:val="32"/>
          <w:szCs w:val="32"/>
          <w:highlight w:val="none"/>
        </w:rPr>
        <w:t>3.7.3 比选申请文件应用不褪色的材料书写或打印，并由比选申请人的法定代表人或其委托代理人签字并盖单位公章。委托代理人签字的，比选申请文件应附法定代表人签署的授权委托书。比选申请文件应避免涂改、行间插字或删除。如果出现上述情况，改动之处应加盖单位公章并由比选申请人的法定代表人或其授权的代理人签字确认。签字或盖章的具体要求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3.7.4 比选申请文件正本一份，副本份数见比选申请人须知前附表。正本和副本的封面上应清楚地标记“正本”或“副本”的字样。当副本和正本不一致时，以正本为准。</w:t>
      </w:r>
    </w:p>
    <w:p>
      <w:pPr>
        <w:spacing w:line="560" w:lineRule="exact"/>
        <w:ind w:firstLine="640" w:firstLineChars="200"/>
        <w:rPr>
          <w:rFonts w:hAnsi="宋体"/>
          <w:sz w:val="32"/>
          <w:szCs w:val="32"/>
          <w:highlight w:val="none"/>
        </w:rPr>
      </w:pPr>
      <w:r>
        <w:rPr>
          <w:rFonts w:hAnsi="宋体"/>
          <w:sz w:val="32"/>
          <w:szCs w:val="32"/>
          <w:highlight w:val="none"/>
        </w:rPr>
        <w:t>3.7.5 比选申请文件的正本与副本应分别装订成册，并编制目录，具体装订要求见比选申请人须知前附表规定。</w:t>
      </w:r>
    </w:p>
    <w:p>
      <w:pPr>
        <w:pStyle w:val="4"/>
        <w:adjustRightInd w:val="0"/>
        <w:snapToGrid w:val="0"/>
        <w:spacing w:before="0" w:after="0" w:line="560" w:lineRule="exact"/>
        <w:ind w:firstLine="643" w:firstLineChars="200"/>
        <w:rPr>
          <w:rFonts w:ascii="宋体" w:hAnsi="宋体" w:eastAsia="宋体"/>
          <w:szCs w:val="32"/>
          <w:highlight w:val="none"/>
        </w:rPr>
      </w:pPr>
      <w:bookmarkStart w:id="106" w:name="_Toc447725040"/>
      <w:bookmarkStart w:id="107" w:name="_Toc447639721"/>
      <w:bookmarkStart w:id="108" w:name="_Toc447541159"/>
      <w:r>
        <w:rPr>
          <w:rFonts w:ascii="宋体" w:hAnsi="宋体" w:eastAsia="宋体"/>
          <w:szCs w:val="32"/>
          <w:highlight w:val="none"/>
        </w:rPr>
        <w:t>4 比选申请</w:t>
      </w:r>
      <w:bookmarkEnd w:id="106"/>
      <w:bookmarkEnd w:id="107"/>
      <w:bookmarkEnd w:id="108"/>
    </w:p>
    <w:p>
      <w:pPr>
        <w:pStyle w:val="5"/>
        <w:spacing w:line="560" w:lineRule="exact"/>
        <w:ind w:firstLine="643" w:firstLineChars="200"/>
        <w:rPr>
          <w:rFonts w:ascii="宋体" w:hAnsi="宋体"/>
          <w:szCs w:val="32"/>
          <w:highlight w:val="none"/>
        </w:rPr>
      </w:pPr>
      <w:bookmarkStart w:id="109" w:name="_Toc447541160"/>
      <w:bookmarkStart w:id="110" w:name="_Toc447639722"/>
      <w:r>
        <w:rPr>
          <w:rFonts w:ascii="宋体" w:hAnsi="宋体"/>
          <w:szCs w:val="32"/>
          <w:highlight w:val="none"/>
        </w:rPr>
        <w:t>4.1 比选申请文件的密封和标记</w:t>
      </w:r>
      <w:bookmarkEnd w:id="109"/>
      <w:bookmarkEnd w:id="110"/>
    </w:p>
    <w:p>
      <w:pPr>
        <w:spacing w:line="560" w:lineRule="exact"/>
        <w:ind w:firstLine="640" w:firstLineChars="200"/>
        <w:rPr>
          <w:rFonts w:hAnsi="宋体"/>
          <w:sz w:val="32"/>
          <w:szCs w:val="32"/>
          <w:highlight w:val="none"/>
        </w:rPr>
      </w:pPr>
      <w:r>
        <w:rPr>
          <w:rFonts w:hAnsi="宋体"/>
          <w:sz w:val="32"/>
          <w:szCs w:val="32"/>
          <w:highlight w:val="none"/>
        </w:rPr>
        <w:t>4.1.1 比选申请文件的正本与副本应分开包装，加贴封条，并在封套的封口处加盖比选申请人单位公章。</w:t>
      </w:r>
    </w:p>
    <w:p>
      <w:pPr>
        <w:spacing w:line="560" w:lineRule="exact"/>
        <w:ind w:firstLine="640" w:firstLineChars="200"/>
        <w:rPr>
          <w:rFonts w:hAnsi="宋体"/>
          <w:sz w:val="32"/>
          <w:szCs w:val="32"/>
          <w:highlight w:val="none"/>
        </w:rPr>
      </w:pPr>
      <w:r>
        <w:rPr>
          <w:rFonts w:hAnsi="宋体"/>
          <w:sz w:val="32"/>
          <w:szCs w:val="32"/>
          <w:highlight w:val="none"/>
        </w:rPr>
        <w:t>4.1.2 比选申请文件的封套上应清楚地标记“正本”或“副本”字样，封套上应写明的其他内容见比选申请人须知前附表。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4.1.3 未按本章第4.1.1 项或第4.1.2 项要求密封和加写标记的比选申请文件，比选人不予受理。</w:t>
      </w:r>
    </w:p>
    <w:p>
      <w:pPr>
        <w:pStyle w:val="5"/>
        <w:spacing w:line="560" w:lineRule="exact"/>
        <w:ind w:firstLine="643" w:firstLineChars="200"/>
        <w:rPr>
          <w:rFonts w:ascii="宋体" w:hAnsi="宋体"/>
          <w:szCs w:val="32"/>
          <w:highlight w:val="none"/>
        </w:rPr>
      </w:pPr>
      <w:bookmarkStart w:id="111" w:name="_Toc447639723"/>
      <w:bookmarkStart w:id="112" w:name="_Toc447541161"/>
      <w:r>
        <w:rPr>
          <w:rFonts w:ascii="宋体" w:hAnsi="宋体"/>
          <w:szCs w:val="32"/>
          <w:highlight w:val="none"/>
        </w:rPr>
        <w:t>4.2 比选申请文件的递交</w:t>
      </w:r>
      <w:bookmarkEnd w:id="111"/>
      <w:bookmarkEnd w:id="112"/>
    </w:p>
    <w:p>
      <w:pPr>
        <w:spacing w:line="560" w:lineRule="exact"/>
        <w:ind w:firstLine="640" w:firstLineChars="200"/>
        <w:rPr>
          <w:rFonts w:hAnsi="宋体"/>
          <w:sz w:val="32"/>
          <w:szCs w:val="32"/>
          <w:highlight w:val="none"/>
        </w:rPr>
      </w:pPr>
      <w:r>
        <w:rPr>
          <w:rFonts w:hAnsi="宋体"/>
          <w:sz w:val="32"/>
          <w:szCs w:val="32"/>
          <w:highlight w:val="none"/>
        </w:rPr>
        <w:t>4.2.1 比选申请人应在比选申请人须知前附表规定的比选截止时间前递交比选申请文件。</w:t>
      </w:r>
    </w:p>
    <w:p>
      <w:pPr>
        <w:spacing w:line="560" w:lineRule="exact"/>
        <w:ind w:firstLine="640" w:firstLineChars="200"/>
        <w:rPr>
          <w:rFonts w:hAnsi="宋体"/>
          <w:sz w:val="32"/>
          <w:szCs w:val="32"/>
          <w:highlight w:val="none"/>
        </w:rPr>
      </w:pPr>
      <w:r>
        <w:rPr>
          <w:rFonts w:hAnsi="宋体"/>
          <w:sz w:val="32"/>
          <w:szCs w:val="32"/>
          <w:highlight w:val="none"/>
        </w:rPr>
        <w:t>4.2.2 比选申请人递交比选申请文件的地点：见比选申请人须知前附表。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4.2.3 除比选申请人须知前附表另有规定外，比选申请人所递交的比选申请文件不予退还。</w:t>
      </w:r>
    </w:p>
    <w:p>
      <w:pPr>
        <w:spacing w:line="560" w:lineRule="exact"/>
        <w:ind w:firstLine="640" w:firstLineChars="200"/>
        <w:rPr>
          <w:rFonts w:hAnsi="宋体"/>
          <w:sz w:val="32"/>
          <w:szCs w:val="32"/>
          <w:highlight w:val="none"/>
        </w:rPr>
      </w:pPr>
      <w:r>
        <w:rPr>
          <w:rFonts w:hAnsi="宋体"/>
          <w:sz w:val="32"/>
          <w:szCs w:val="32"/>
          <w:highlight w:val="none"/>
        </w:rPr>
        <w:t>4.2.4 逾期送达的或者未送达指定地点的比选申请文件，比选人不予受理。</w:t>
      </w:r>
    </w:p>
    <w:p>
      <w:pPr>
        <w:pStyle w:val="5"/>
        <w:spacing w:line="560" w:lineRule="exact"/>
        <w:ind w:firstLine="643" w:firstLineChars="200"/>
        <w:rPr>
          <w:rFonts w:ascii="宋体" w:hAnsi="宋体"/>
          <w:szCs w:val="32"/>
          <w:highlight w:val="none"/>
        </w:rPr>
      </w:pPr>
      <w:bookmarkStart w:id="113" w:name="_Toc447639724"/>
      <w:bookmarkStart w:id="114" w:name="_Toc447541162"/>
      <w:r>
        <w:rPr>
          <w:rFonts w:ascii="宋体" w:hAnsi="宋体"/>
          <w:szCs w:val="32"/>
          <w:highlight w:val="none"/>
        </w:rPr>
        <w:t>4.3 比选申请文件的修改与撤回</w:t>
      </w:r>
      <w:bookmarkEnd w:id="113"/>
      <w:bookmarkEnd w:id="114"/>
    </w:p>
    <w:p>
      <w:pPr>
        <w:spacing w:line="560" w:lineRule="exact"/>
        <w:ind w:firstLine="640" w:firstLineChars="200"/>
        <w:rPr>
          <w:rFonts w:hAnsi="宋体"/>
          <w:sz w:val="32"/>
          <w:szCs w:val="32"/>
          <w:highlight w:val="none"/>
        </w:rPr>
      </w:pPr>
      <w:r>
        <w:rPr>
          <w:rFonts w:hAnsi="宋体"/>
          <w:sz w:val="32"/>
          <w:szCs w:val="32"/>
          <w:highlight w:val="none"/>
        </w:rPr>
        <w:t>4.3.1 在本章规定的比选截止时间前，比选申请人可以修改或撤回已递交的比选申请文件，但应以书面形式通知比选人。</w:t>
      </w:r>
    </w:p>
    <w:p>
      <w:pPr>
        <w:spacing w:line="560" w:lineRule="exact"/>
        <w:ind w:firstLine="640" w:firstLineChars="200"/>
        <w:rPr>
          <w:rFonts w:hAnsi="宋体"/>
          <w:sz w:val="32"/>
          <w:szCs w:val="32"/>
          <w:highlight w:val="none"/>
        </w:rPr>
      </w:pPr>
      <w:r>
        <w:rPr>
          <w:rFonts w:hAnsi="宋体"/>
          <w:sz w:val="32"/>
          <w:szCs w:val="32"/>
          <w:highlight w:val="none"/>
        </w:rPr>
        <w:t>4.3.2 比选申请人修改或撤回已递交比选申请文件的书面通知应按照本章第3.6.3 项的要求签字或盖章。比选人收到书面通知后，向比选申请人出具签收凭证。</w:t>
      </w:r>
    </w:p>
    <w:p>
      <w:pPr>
        <w:spacing w:line="560" w:lineRule="exact"/>
        <w:ind w:firstLine="640" w:firstLineChars="200"/>
        <w:rPr>
          <w:rFonts w:hAnsi="宋体"/>
          <w:sz w:val="32"/>
          <w:szCs w:val="32"/>
          <w:highlight w:val="none"/>
        </w:rPr>
      </w:pPr>
      <w:r>
        <w:rPr>
          <w:rFonts w:hAnsi="宋体"/>
          <w:sz w:val="32"/>
          <w:szCs w:val="32"/>
          <w:highlight w:val="none"/>
        </w:rPr>
        <w:t>4.3.3 修改的内容为比选申请文件的组成部分。修改的比选申请文件应按照本章第3 条、第4 条规定进行编制、密封、标记和递交，并标明“修改”字样。</w:t>
      </w:r>
    </w:p>
    <w:p>
      <w:pPr>
        <w:pStyle w:val="4"/>
        <w:spacing w:before="0" w:after="0" w:line="560" w:lineRule="exact"/>
        <w:ind w:firstLine="643" w:firstLineChars="200"/>
        <w:rPr>
          <w:rFonts w:ascii="宋体" w:hAnsi="宋体" w:eastAsia="宋体"/>
          <w:szCs w:val="32"/>
          <w:highlight w:val="none"/>
        </w:rPr>
      </w:pPr>
      <w:bookmarkStart w:id="115" w:name="_Toc447725041"/>
      <w:bookmarkStart w:id="116" w:name="_Toc447541163"/>
      <w:bookmarkStart w:id="117" w:name="_Toc447639725"/>
      <w:r>
        <w:rPr>
          <w:rFonts w:ascii="宋体" w:hAnsi="宋体" w:eastAsia="宋体"/>
          <w:szCs w:val="32"/>
          <w:highlight w:val="none"/>
        </w:rPr>
        <w:t>5 开标</w:t>
      </w:r>
      <w:bookmarkEnd w:id="115"/>
      <w:bookmarkEnd w:id="116"/>
      <w:bookmarkEnd w:id="117"/>
    </w:p>
    <w:p>
      <w:pPr>
        <w:pStyle w:val="5"/>
        <w:spacing w:line="560" w:lineRule="exact"/>
        <w:ind w:firstLine="643" w:firstLineChars="200"/>
        <w:rPr>
          <w:rFonts w:ascii="宋体" w:hAnsi="宋体"/>
          <w:szCs w:val="32"/>
          <w:highlight w:val="none"/>
        </w:rPr>
      </w:pPr>
      <w:bookmarkStart w:id="118" w:name="_Toc447639726"/>
      <w:bookmarkStart w:id="119" w:name="_Toc447541164"/>
      <w:r>
        <w:rPr>
          <w:rFonts w:ascii="宋体" w:hAnsi="宋体"/>
          <w:szCs w:val="32"/>
          <w:highlight w:val="none"/>
        </w:rPr>
        <w:t>5.1 开标时间和地点</w:t>
      </w:r>
      <w:bookmarkEnd w:id="118"/>
      <w:bookmarkEnd w:id="119"/>
    </w:p>
    <w:p>
      <w:pPr>
        <w:spacing w:line="560" w:lineRule="exact"/>
        <w:ind w:firstLine="640" w:firstLineChars="200"/>
        <w:rPr>
          <w:rFonts w:hAnsi="宋体"/>
          <w:sz w:val="32"/>
          <w:szCs w:val="32"/>
          <w:highlight w:val="none"/>
        </w:rPr>
      </w:pPr>
      <w:r>
        <w:rPr>
          <w:rFonts w:hAnsi="宋体"/>
          <w:sz w:val="32"/>
          <w:szCs w:val="32"/>
          <w:highlight w:val="none"/>
        </w:rPr>
        <w:t>比选人在比选申请人须知前附表规定的比选截止时间（开标时间）和比选申请人须知前附表规定的地点公开开标。</w:t>
      </w:r>
    </w:p>
    <w:p>
      <w:pPr>
        <w:pStyle w:val="5"/>
        <w:spacing w:line="560" w:lineRule="exact"/>
        <w:ind w:firstLine="643" w:firstLineChars="200"/>
        <w:rPr>
          <w:rFonts w:ascii="宋体" w:hAnsi="宋体"/>
          <w:szCs w:val="32"/>
          <w:highlight w:val="none"/>
        </w:rPr>
      </w:pPr>
      <w:bookmarkStart w:id="120" w:name="_Toc447639727"/>
      <w:bookmarkStart w:id="121" w:name="_Toc447541165"/>
      <w:r>
        <w:rPr>
          <w:rFonts w:ascii="宋体" w:hAnsi="宋体"/>
          <w:szCs w:val="32"/>
          <w:highlight w:val="none"/>
        </w:rPr>
        <w:t>5.2 开标程序</w:t>
      </w:r>
      <w:bookmarkEnd w:id="120"/>
      <w:bookmarkEnd w:id="121"/>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主持人按下列程序进行开标：</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(1) 宣布开标纪律；</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(2) 公布在比选截止时间前递交比选申请文件的比选申请人名称，并点名确认比选申请人是否派人到场；</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(3) 宣布开标人、唱标人、记录人、监标人等有关人员姓名；</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(4) 按照比选申请人须知前附表规定检查比选申请文件的密封情况；</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(5) 按照比选申请人须知前附表的规定确定并宣布比选申请文件开标顺序；</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(6) 按照宣布的开标顺序当众开标，公布比选申请人名称、比选报价，并记录在案；</w:t>
      </w:r>
    </w:p>
    <w:p>
      <w:pPr>
        <w:adjustRightInd w:val="0"/>
        <w:snapToGrid w:val="0"/>
        <w:spacing w:line="560" w:lineRule="exact"/>
        <w:ind w:firstLine="640" w:firstLineChars="200"/>
        <w:rPr>
          <w:rFonts w:hAnsi="宋体"/>
          <w:sz w:val="32"/>
          <w:szCs w:val="32"/>
          <w:highlight w:val="none"/>
        </w:rPr>
      </w:pPr>
      <w:r>
        <w:rPr>
          <w:rFonts w:hAnsi="宋体"/>
          <w:sz w:val="32"/>
          <w:szCs w:val="32"/>
          <w:highlight w:val="none"/>
        </w:rPr>
        <w:t>(7) 比选申请人代表、比选人代表、监标人、记录人等有关人员在开标记录上签字确认；</w:t>
      </w:r>
    </w:p>
    <w:p>
      <w:pPr>
        <w:spacing w:line="560" w:lineRule="exact"/>
        <w:ind w:firstLine="640" w:firstLineChars="200"/>
        <w:rPr>
          <w:rFonts w:hAnsi="宋体"/>
          <w:sz w:val="32"/>
          <w:szCs w:val="32"/>
          <w:highlight w:val="none"/>
        </w:rPr>
      </w:pPr>
      <w:r>
        <w:rPr>
          <w:rFonts w:hAnsi="宋体"/>
          <w:sz w:val="32"/>
          <w:szCs w:val="32"/>
          <w:highlight w:val="none"/>
        </w:rPr>
        <w:t>(8) 开标结束。</w:t>
      </w:r>
    </w:p>
    <w:p>
      <w:pPr>
        <w:pStyle w:val="4"/>
        <w:spacing w:before="0" w:after="0" w:line="560" w:lineRule="exact"/>
        <w:ind w:firstLine="643" w:firstLineChars="200"/>
        <w:rPr>
          <w:rFonts w:ascii="宋体" w:hAnsi="宋体" w:eastAsia="宋体"/>
          <w:szCs w:val="32"/>
          <w:highlight w:val="none"/>
        </w:rPr>
      </w:pPr>
      <w:bookmarkStart w:id="122" w:name="_Toc325546757"/>
      <w:bookmarkStart w:id="123" w:name="_Toc309138153"/>
      <w:bookmarkStart w:id="124" w:name="_Toc416593118"/>
      <w:bookmarkStart w:id="125" w:name="_Toc447639728"/>
      <w:bookmarkStart w:id="126" w:name="_Toc447725042"/>
      <w:bookmarkStart w:id="127" w:name="_Toc447541166"/>
      <w:r>
        <w:rPr>
          <w:rFonts w:ascii="宋体" w:hAnsi="宋体" w:eastAsia="宋体"/>
          <w:szCs w:val="32"/>
          <w:highlight w:val="none"/>
        </w:rPr>
        <w:t>6</w:t>
      </w:r>
      <w:bookmarkEnd w:id="122"/>
      <w:bookmarkEnd w:id="123"/>
      <w:bookmarkEnd w:id="124"/>
      <w:r>
        <w:rPr>
          <w:rFonts w:ascii="宋体" w:hAnsi="宋体" w:eastAsia="宋体"/>
          <w:szCs w:val="32"/>
          <w:highlight w:val="none"/>
        </w:rPr>
        <w:t xml:space="preserve"> 评审</w:t>
      </w:r>
      <w:bookmarkEnd w:id="125"/>
      <w:bookmarkEnd w:id="126"/>
      <w:bookmarkEnd w:id="127"/>
    </w:p>
    <w:p>
      <w:pPr>
        <w:pStyle w:val="5"/>
        <w:spacing w:line="560" w:lineRule="exact"/>
        <w:ind w:firstLine="643" w:firstLineChars="200"/>
        <w:rPr>
          <w:rFonts w:ascii="宋体" w:hAnsi="宋体"/>
          <w:szCs w:val="32"/>
          <w:highlight w:val="none"/>
        </w:rPr>
      </w:pPr>
      <w:bookmarkStart w:id="128" w:name="_Toc447541167"/>
      <w:bookmarkStart w:id="129" w:name="_Toc447639729"/>
      <w:r>
        <w:rPr>
          <w:rFonts w:ascii="宋体" w:hAnsi="宋体"/>
          <w:szCs w:val="32"/>
          <w:highlight w:val="none"/>
        </w:rPr>
        <w:t>6.1 评审委员会</w:t>
      </w:r>
      <w:bookmarkEnd w:id="128"/>
      <w:bookmarkEnd w:id="129"/>
    </w:p>
    <w:p>
      <w:pPr>
        <w:spacing w:line="560" w:lineRule="exact"/>
        <w:ind w:firstLine="640" w:firstLineChars="200"/>
        <w:rPr>
          <w:rFonts w:hAnsi="宋体"/>
          <w:sz w:val="32"/>
          <w:szCs w:val="32"/>
          <w:highlight w:val="none"/>
        </w:rPr>
      </w:pPr>
      <w:r>
        <w:rPr>
          <w:rFonts w:hAnsi="宋体"/>
          <w:sz w:val="32"/>
          <w:szCs w:val="32"/>
          <w:highlight w:val="none"/>
        </w:rPr>
        <w:t>6.1.1评审委员会由比选人选派本系统有关技术、经济、招标等方面的专业人员组成，成员人数为5人。</w:t>
      </w:r>
    </w:p>
    <w:p>
      <w:pPr>
        <w:spacing w:line="560" w:lineRule="exact"/>
        <w:ind w:firstLine="640" w:firstLineChars="200"/>
        <w:rPr>
          <w:rFonts w:hAnsi="宋体"/>
          <w:sz w:val="32"/>
          <w:szCs w:val="32"/>
          <w:highlight w:val="none"/>
        </w:rPr>
      </w:pPr>
      <w:r>
        <w:rPr>
          <w:rFonts w:hAnsi="宋体"/>
          <w:sz w:val="32"/>
          <w:szCs w:val="32"/>
          <w:highlight w:val="none"/>
        </w:rPr>
        <w:t>评审委员会成员人数以及技术、经济等方面专家的确定方式见比选申请人须知前附表。</w:t>
      </w:r>
    </w:p>
    <w:p>
      <w:pPr>
        <w:spacing w:line="560" w:lineRule="exact"/>
        <w:ind w:firstLine="640" w:firstLineChars="200"/>
        <w:rPr>
          <w:rFonts w:hAnsi="宋体"/>
          <w:sz w:val="32"/>
          <w:szCs w:val="32"/>
          <w:highlight w:val="none"/>
        </w:rPr>
      </w:pPr>
      <w:r>
        <w:rPr>
          <w:rFonts w:hAnsi="宋体"/>
          <w:sz w:val="32"/>
          <w:szCs w:val="32"/>
          <w:highlight w:val="none"/>
        </w:rPr>
        <w:t>6.1.2 评审委员会成员有下列情形之一的，应当回避：</w:t>
      </w:r>
    </w:p>
    <w:p>
      <w:pPr>
        <w:spacing w:line="560" w:lineRule="exact"/>
        <w:ind w:firstLine="640" w:firstLineChars="200"/>
        <w:rPr>
          <w:rFonts w:hAnsi="宋体"/>
          <w:sz w:val="32"/>
          <w:szCs w:val="32"/>
          <w:highlight w:val="none"/>
        </w:rPr>
      </w:pPr>
      <w:r>
        <w:rPr>
          <w:rFonts w:hAnsi="宋体"/>
          <w:sz w:val="32"/>
          <w:szCs w:val="32"/>
          <w:highlight w:val="none"/>
        </w:rPr>
        <w:t>（一）比选申请人的主要负责人及其近亲属；</w:t>
      </w:r>
    </w:p>
    <w:p>
      <w:pPr>
        <w:spacing w:line="560" w:lineRule="exact"/>
        <w:ind w:firstLine="640" w:firstLineChars="200"/>
        <w:rPr>
          <w:rFonts w:hAnsi="宋体"/>
          <w:sz w:val="32"/>
          <w:szCs w:val="32"/>
          <w:highlight w:val="none"/>
        </w:rPr>
      </w:pPr>
      <w:r>
        <w:rPr>
          <w:rFonts w:hAnsi="宋体"/>
          <w:sz w:val="32"/>
          <w:szCs w:val="32"/>
          <w:highlight w:val="none"/>
        </w:rPr>
        <w:t>（二）与比选申请人有经济利益关系，可能影响比选公正评审的。</w:t>
      </w:r>
    </w:p>
    <w:p>
      <w:pPr>
        <w:spacing w:line="560" w:lineRule="exact"/>
        <w:ind w:firstLine="640" w:firstLineChars="200"/>
        <w:rPr>
          <w:rFonts w:hAnsi="宋体"/>
          <w:sz w:val="32"/>
          <w:szCs w:val="32"/>
          <w:highlight w:val="none"/>
        </w:rPr>
      </w:pPr>
      <w:r>
        <w:rPr>
          <w:rFonts w:hAnsi="宋体"/>
          <w:sz w:val="32"/>
          <w:szCs w:val="32"/>
          <w:highlight w:val="none"/>
        </w:rPr>
        <w:t>评审委员会成员有前款规定情形之一的应当主动提出回避。不主动提出回避的，一经发现，应当立即终止其参加评比。</w:t>
      </w:r>
    </w:p>
    <w:p>
      <w:pPr>
        <w:pStyle w:val="5"/>
        <w:spacing w:line="560" w:lineRule="exact"/>
        <w:ind w:firstLine="643" w:firstLineChars="200"/>
        <w:rPr>
          <w:rFonts w:ascii="宋体" w:hAnsi="宋体"/>
          <w:szCs w:val="32"/>
          <w:highlight w:val="none"/>
        </w:rPr>
      </w:pPr>
      <w:bookmarkStart w:id="130" w:name="_Toc447639730"/>
      <w:bookmarkStart w:id="131" w:name="_Toc447541168"/>
      <w:r>
        <w:rPr>
          <w:rFonts w:ascii="宋体" w:hAnsi="宋体"/>
          <w:szCs w:val="32"/>
          <w:highlight w:val="none"/>
        </w:rPr>
        <w:t>6.2 评审原则</w:t>
      </w:r>
      <w:bookmarkEnd w:id="130"/>
      <w:bookmarkEnd w:id="131"/>
    </w:p>
    <w:p>
      <w:pPr>
        <w:spacing w:line="560" w:lineRule="exact"/>
        <w:ind w:firstLine="640" w:firstLineChars="200"/>
        <w:rPr>
          <w:rFonts w:hAnsi="宋体"/>
          <w:sz w:val="32"/>
          <w:szCs w:val="32"/>
          <w:highlight w:val="none"/>
        </w:rPr>
      </w:pPr>
      <w:r>
        <w:rPr>
          <w:rFonts w:hAnsi="宋体"/>
          <w:sz w:val="32"/>
          <w:szCs w:val="32"/>
          <w:highlight w:val="none"/>
        </w:rPr>
        <w:t>评审活动遵循公平、公正、科学和择优的原则。</w:t>
      </w:r>
    </w:p>
    <w:p>
      <w:pPr>
        <w:pStyle w:val="5"/>
        <w:spacing w:line="560" w:lineRule="exact"/>
        <w:ind w:firstLine="643" w:firstLineChars="200"/>
        <w:rPr>
          <w:rFonts w:ascii="宋体" w:hAnsi="宋体"/>
          <w:szCs w:val="32"/>
          <w:highlight w:val="none"/>
        </w:rPr>
      </w:pPr>
      <w:bookmarkStart w:id="132" w:name="_Toc447541169"/>
      <w:bookmarkStart w:id="133" w:name="_Toc447639731"/>
      <w:r>
        <w:rPr>
          <w:rFonts w:ascii="宋体" w:hAnsi="宋体"/>
          <w:szCs w:val="32"/>
          <w:highlight w:val="none"/>
        </w:rPr>
        <w:t>6.3 评审</w:t>
      </w:r>
      <w:bookmarkEnd w:id="132"/>
      <w:bookmarkEnd w:id="133"/>
    </w:p>
    <w:p>
      <w:pPr>
        <w:spacing w:line="560" w:lineRule="exact"/>
        <w:ind w:firstLine="640" w:firstLineChars="200"/>
        <w:rPr>
          <w:rFonts w:hAnsi="宋体"/>
          <w:sz w:val="32"/>
          <w:szCs w:val="32"/>
          <w:highlight w:val="none"/>
        </w:rPr>
      </w:pPr>
      <w:r>
        <w:rPr>
          <w:rFonts w:hAnsi="宋体"/>
          <w:sz w:val="32"/>
          <w:szCs w:val="32"/>
          <w:highlight w:val="none"/>
        </w:rPr>
        <w:t>评审委员会按照第三章“评审办法”规定的方法、评审因素、标准和程序对比选申请文件进行评审。第三章“评审办法”没有规定的方法、评审因素和标准，不作为评审依据。</w:t>
      </w:r>
    </w:p>
    <w:p>
      <w:pPr>
        <w:pStyle w:val="4"/>
        <w:spacing w:before="0" w:after="0" w:line="560" w:lineRule="exact"/>
        <w:ind w:firstLine="643" w:firstLineChars="200"/>
        <w:rPr>
          <w:rFonts w:ascii="宋体" w:hAnsi="宋体" w:eastAsia="宋体"/>
          <w:szCs w:val="32"/>
          <w:highlight w:val="none"/>
        </w:rPr>
      </w:pPr>
      <w:bookmarkStart w:id="134" w:name="_Toc447639732"/>
      <w:bookmarkStart w:id="135" w:name="_Toc325546758"/>
      <w:bookmarkStart w:id="136" w:name="_Toc447541170"/>
      <w:bookmarkStart w:id="137" w:name="_Toc309138154"/>
      <w:bookmarkStart w:id="138" w:name="_Toc447725043"/>
      <w:bookmarkStart w:id="139" w:name="_Toc416593119"/>
      <w:r>
        <w:rPr>
          <w:rFonts w:ascii="宋体" w:hAnsi="宋体" w:eastAsia="宋体"/>
          <w:szCs w:val="32"/>
          <w:highlight w:val="none"/>
        </w:rPr>
        <w:t>7 合同授予</w:t>
      </w:r>
      <w:bookmarkEnd w:id="134"/>
      <w:bookmarkEnd w:id="135"/>
      <w:bookmarkEnd w:id="136"/>
      <w:bookmarkEnd w:id="137"/>
      <w:bookmarkEnd w:id="138"/>
      <w:bookmarkEnd w:id="139"/>
    </w:p>
    <w:p>
      <w:pPr>
        <w:pStyle w:val="5"/>
        <w:spacing w:line="560" w:lineRule="exact"/>
        <w:ind w:firstLine="643" w:firstLineChars="200"/>
        <w:rPr>
          <w:rFonts w:ascii="宋体" w:hAnsi="宋体"/>
          <w:szCs w:val="32"/>
          <w:highlight w:val="none"/>
        </w:rPr>
      </w:pPr>
      <w:bookmarkStart w:id="140" w:name="_Toc447541171"/>
      <w:bookmarkStart w:id="141" w:name="_Toc447639733"/>
      <w:r>
        <w:rPr>
          <w:rFonts w:ascii="宋体" w:hAnsi="宋体"/>
          <w:szCs w:val="32"/>
          <w:highlight w:val="none"/>
        </w:rPr>
        <w:t>7.1 定标方式</w:t>
      </w:r>
      <w:bookmarkEnd w:id="140"/>
      <w:bookmarkEnd w:id="141"/>
    </w:p>
    <w:p>
      <w:pPr>
        <w:spacing w:line="560" w:lineRule="exact"/>
        <w:ind w:firstLine="640" w:firstLineChars="200"/>
        <w:rPr>
          <w:rFonts w:hAnsi="宋体"/>
          <w:sz w:val="32"/>
          <w:szCs w:val="32"/>
          <w:highlight w:val="none"/>
        </w:rPr>
      </w:pPr>
      <w:r>
        <w:rPr>
          <w:rFonts w:hAnsi="宋体"/>
          <w:sz w:val="32"/>
          <w:szCs w:val="32"/>
          <w:highlight w:val="none"/>
        </w:rPr>
        <w:t>比选人应当在比选截止后15日内确定中选人。</w:t>
      </w:r>
    </w:p>
    <w:p>
      <w:pPr>
        <w:spacing w:line="560" w:lineRule="exact"/>
        <w:ind w:firstLine="640" w:firstLineChars="200"/>
        <w:rPr>
          <w:rFonts w:hAnsi="宋体"/>
          <w:sz w:val="32"/>
          <w:szCs w:val="32"/>
          <w:highlight w:val="none"/>
        </w:rPr>
      </w:pPr>
      <w:r>
        <w:rPr>
          <w:rFonts w:hAnsi="宋体"/>
          <w:sz w:val="32"/>
          <w:szCs w:val="32"/>
          <w:highlight w:val="none"/>
        </w:rPr>
        <w:t>到期未确定中选人的，比选人应将延期的理由书面通知比选申请人。延长的期限不得超过15日。</w:t>
      </w:r>
    </w:p>
    <w:p>
      <w:pPr>
        <w:pStyle w:val="5"/>
        <w:spacing w:line="560" w:lineRule="exact"/>
        <w:ind w:firstLine="643" w:firstLineChars="200"/>
        <w:rPr>
          <w:rFonts w:ascii="宋体" w:hAnsi="宋体"/>
          <w:szCs w:val="32"/>
          <w:highlight w:val="none"/>
        </w:rPr>
      </w:pPr>
      <w:bookmarkStart w:id="142" w:name="_Toc447639734"/>
      <w:bookmarkStart w:id="143" w:name="_Toc447541172"/>
      <w:r>
        <w:rPr>
          <w:rFonts w:ascii="宋体" w:hAnsi="宋体"/>
          <w:szCs w:val="32"/>
          <w:highlight w:val="none"/>
        </w:rPr>
        <w:t>7.2 中选通知</w:t>
      </w:r>
      <w:bookmarkEnd w:id="142"/>
      <w:bookmarkEnd w:id="143"/>
    </w:p>
    <w:p>
      <w:pPr>
        <w:spacing w:line="560" w:lineRule="exact"/>
        <w:ind w:firstLine="640" w:firstLineChars="200"/>
        <w:rPr>
          <w:rFonts w:hAnsi="宋体"/>
          <w:sz w:val="32"/>
          <w:szCs w:val="32"/>
          <w:highlight w:val="none"/>
        </w:rPr>
      </w:pPr>
      <w:r>
        <w:rPr>
          <w:rFonts w:hAnsi="宋体"/>
          <w:sz w:val="32"/>
          <w:szCs w:val="32"/>
          <w:highlight w:val="none"/>
        </w:rPr>
        <w:t>7.2.1比选人应向中选人发出中选通知书，向未中选的比选申请人发出中选结果通知书。</w:t>
      </w:r>
    </w:p>
    <w:p>
      <w:pPr>
        <w:spacing w:line="560" w:lineRule="exact"/>
        <w:ind w:firstLine="640" w:firstLineChars="200"/>
        <w:rPr>
          <w:rFonts w:hAnsi="宋体"/>
          <w:sz w:val="32"/>
          <w:szCs w:val="32"/>
          <w:highlight w:val="none"/>
        </w:rPr>
      </w:pPr>
      <w:r>
        <w:rPr>
          <w:rFonts w:hAnsi="宋体"/>
          <w:sz w:val="32"/>
          <w:szCs w:val="32"/>
          <w:highlight w:val="none"/>
        </w:rPr>
        <w:t>7.2.2比选申请人和其他利害关系人认为比选活动不符合四川省相关程序规定的，应当在知道或者应当知道其权益受到侵害后、在收到中选通知书或者中选结果通知书后3日内向有关监督部门提出投诉。逾期投诉的，不予受理。</w:t>
      </w:r>
    </w:p>
    <w:p>
      <w:pPr>
        <w:pStyle w:val="5"/>
        <w:spacing w:line="560" w:lineRule="exact"/>
        <w:ind w:firstLine="643" w:firstLineChars="200"/>
        <w:rPr>
          <w:rFonts w:ascii="宋体" w:hAnsi="宋体"/>
          <w:szCs w:val="32"/>
          <w:highlight w:val="none"/>
        </w:rPr>
      </w:pPr>
      <w:bookmarkStart w:id="144" w:name="_Toc447541173"/>
      <w:bookmarkStart w:id="145" w:name="_Toc447639735"/>
      <w:r>
        <w:rPr>
          <w:rFonts w:ascii="宋体" w:hAnsi="宋体"/>
          <w:szCs w:val="32"/>
          <w:highlight w:val="none"/>
        </w:rPr>
        <w:t>7.3 履约保证金</w:t>
      </w:r>
      <w:bookmarkEnd w:id="144"/>
      <w:bookmarkEnd w:id="145"/>
    </w:p>
    <w:p>
      <w:pPr>
        <w:spacing w:line="560" w:lineRule="exact"/>
        <w:ind w:firstLine="640" w:firstLineChars="200"/>
        <w:rPr>
          <w:rFonts w:hAnsi="宋体"/>
          <w:sz w:val="32"/>
          <w:szCs w:val="32"/>
          <w:highlight w:val="none"/>
        </w:rPr>
      </w:pPr>
      <w:r>
        <w:rPr>
          <w:rFonts w:hAnsi="宋体"/>
          <w:sz w:val="32"/>
          <w:szCs w:val="32"/>
          <w:highlight w:val="none"/>
        </w:rPr>
        <w:t>本项目履约保证金为：人民币</w:t>
      </w:r>
      <w:r>
        <w:rPr>
          <w:rFonts w:hAnsi="宋体"/>
          <w:sz w:val="32"/>
          <w:szCs w:val="32"/>
          <w:highlight w:val="none"/>
          <w:u w:val="single"/>
        </w:rPr>
        <w:t>0</w:t>
      </w:r>
      <w:r>
        <w:rPr>
          <w:rFonts w:hAnsi="宋体"/>
          <w:sz w:val="32"/>
          <w:szCs w:val="32"/>
          <w:highlight w:val="none"/>
        </w:rPr>
        <w:t>万元（大写：零万元整）。</w:t>
      </w:r>
    </w:p>
    <w:p>
      <w:pPr>
        <w:pStyle w:val="5"/>
        <w:spacing w:line="560" w:lineRule="exact"/>
        <w:ind w:firstLine="643" w:firstLineChars="200"/>
        <w:rPr>
          <w:rFonts w:ascii="宋体" w:hAnsi="宋体"/>
          <w:szCs w:val="32"/>
          <w:highlight w:val="none"/>
        </w:rPr>
      </w:pPr>
      <w:bookmarkStart w:id="146" w:name="_Toc447541174"/>
      <w:bookmarkStart w:id="147" w:name="_Toc447639736"/>
      <w:r>
        <w:rPr>
          <w:rFonts w:ascii="宋体" w:hAnsi="宋体"/>
          <w:szCs w:val="32"/>
          <w:highlight w:val="none"/>
        </w:rPr>
        <w:t>7.4 签订合同</w:t>
      </w:r>
      <w:bookmarkEnd w:id="146"/>
      <w:bookmarkEnd w:id="147"/>
    </w:p>
    <w:p>
      <w:pPr>
        <w:spacing w:line="560" w:lineRule="exact"/>
        <w:ind w:firstLine="640" w:firstLineChars="200"/>
        <w:rPr>
          <w:rFonts w:hAnsi="宋体"/>
          <w:sz w:val="32"/>
          <w:szCs w:val="32"/>
          <w:highlight w:val="none"/>
        </w:rPr>
      </w:pPr>
      <w:r>
        <w:rPr>
          <w:rFonts w:hAnsi="宋体"/>
          <w:sz w:val="32"/>
          <w:szCs w:val="32"/>
          <w:highlight w:val="none"/>
        </w:rPr>
        <w:t>7.4.1比选人和中选人应当自中选通知书发出之日起</w:t>
      </w:r>
      <w:r>
        <w:rPr>
          <w:rFonts w:hAnsi="宋体"/>
          <w:sz w:val="32"/>
          <w:szCs w:val="32"/>
          <w:highlight w:val="none"/>
          <w:u w:val="single"/>
        </w:rPr>
        <w:t>20</w:t>
      </w:r>
      <w:r>
        <w:rPr>
          <w:rFonts w:hAnsi="宋体"/>
          <w:sz w:val="32"/>
          <w:szCs w:val="32"/>
          <w:highlight w:val="none"/>
        </w:rPr>
        <w:t>日内订立书面合同。中选人无正当理由拒签合同的，比选人取消其中选资格；给比选人造成的损失超过比选保证金额数的，中选人还应当对超过部分予以赔偿。</w:t>
      </w:r>
    </w:p>
    <w:p>
      <w:pPr>
        <w:spacing w:line="560" w:lineRule="exact"/>
        <w:ind w:firstLine="640" w:firstLineChars="200"/>
        <w:rPr>
          <w:rFonts w:hAnsi="宋体"/>
          <w:sz w:val="32"/>
          <w:szCs w:val="32"/>
          <w:highlight w:val="none"/>
        </w:rPr>
      </w:pPr>
      <w:r>
        <w:rPr>
          <w:rFonts w:hAnsi="宋体"/>
          <w:sz w:val="32"/>
          <w:szCs w:val="32"/>
          <w:highlight w:val="none"/>
        </w:rPr>
        <w:t>7.4.2 发出中选通知书后，比选人无正当理由拒签合同的，给中选人造成损失的，还应当赔偿损失。</w:t>
      </w:r>
    </w:p>
    <w:p>
      <w:pPr>
        <w:pStyle w:val="4"/>
        <w:spacing w:before="0" w:after="0" w:line="560" w:lineRule="exact"/>
        <w:ind w:firstLine="643" w:firstLineChars="200"/>
        <w:rPr>
          <w:rFonts w:ascii="宋体" w:hAnsi="宋体" w:eastAsia="宋体"/>
          <w:szCs w:val="32"/>
          <w:highlight w:val="none"/>
        </w:rPr>
      </w:pPr>
      <w:bookmarkStart w:id="148" w:name="_Toc309138155"/>
      <w:bookmarkStart w:id="149" w:name="_Toc416593120"/>
      <w:bookmarkStart w:id="150" w:name="_Toc325546759"/>
      <w:bookmarkStart w:id="151" w:name="_Toc447541175"/>
      <w:bookmarkStart w:id="152" w:name="_Toc447725044"/>
      <w:bookmarkStart w:id="153" w:name="_Toc447639737"/>
      <w:r>
        <w:rPr>
          <w:rFonts w:ascii="宋体" w:hAnsi="宋体" w:eastAsia="宋体"/>
          <w:szCs w:val="32"/>
          <w:highlight w:val="none"/>
        </w:rPr>
        <w:t>8 重新比选和不再</w:t>
      </w:r>
      <w:bookmarkEnd w:id="148"/>
      <w:bookmarkEnd w:id="149"/>
      <w:bookmarkEnd w:id="150"/>
      <w:r>
        <w:rPr>
          <w:rFonts w:ascii="宋体" w:hAnsi="宋体" w:eastAsia="宋体"/>
          <w:szCs w:val="32"/>
          <w:highlight w:val="none"/>
        </w:rPr>
        <w:t>比选</w:t>
      </w:r>
      <w:bookmarkEnd w:id="151"/>
      <w:bookmarkEnd w:id="152"/>
      <w:bookmarkEnd w:id="153"/>
    </w:p>
    <w:p>
      <w:pPr>
        <w:pStyle w:val="5"/>
        <w:spacing w:line="560" w:lineRule="exact"/>
        <w:ind w:firstLine="643" w:firstLineChars="200"/>
        <w:rPr>
          <w:rFonts w:ascii="宋体" w:hAnsi="宋体"/>
          <w:szCs w:val="32"/>
          <w:highlight w:val="none"/>
        </w:rPr>
      </w:pPr>
      <w:bookmarkStart w:id="154" w:name="_Toc447639738"/>
      <w:bookmarkStart w:id="155" w:name="_Toc447541176"/>
      <w:r>
        <w:rPr>
          <w:rFonts w:ascii="宋体" w:hAnsi="宋体"/>
          <w:szCs w:val="32"/>
          <w:highlight w:val="none"/>
        </w:rPr>
        <w:t>8.1 重新比选</w:t>
      </w:r>
      <w:bookmarkEnd w:id="154"/>
      <w:bookmarkEnd w:id="155"/>
    </w:p>
    <w:p>
      <w:pPr>
        <w:spacing w:line="560" w:lineRule="exact"/>
        <w:ind w:firstLine="640" w:firstLineChars="200"/>
        <w:rPr>
          <w:rFonts w:hAnsi="宋体"/>
          <w:sz w:val="32"/>
          <w:szCs w:val="32"/>
          <w:highlight w:val="none"/>
        </w:rPr>
      </w:pPr>
      <w:r>
        <w:rPr>
          <w:rFonts w:hAnsi="宋体"/>
          <w:sz w:val="32"/>
          <w:szCs w:val="32"/>
          <w:highlight w:val="none"/>
        </w:rPr>
        <w:t>有下列情形之一的，应按本办法规定重新组织比选：</w:t>
      </w:r>
    </w:p>
    <w:p>
      <w:pPr>
        <w:spacing w:line="560" w:lineRule="exact"/>
        <w:ind w:firstLine="640" w:firstLineChars="200"/>
        <w:rPr>
          <w:rFonts w:hAnsi="宋体"/>
          <w:sz w:val="32"/>
          <w:szCs w:val="32"/>
          <w:highlight w:val="none"/>
        </w:rPr>
      </w:pPr>
      <w:r>
        <w:rPr>
          <w:rFonts w:hAnsi="宋体"/>
          <w:sz w:val="32"/>
          <w:szCs w:val="32"/>
          <w:highlight w:val="none"/>
        </w:rPr>
        <w:t>（一）所有比选申请人不符合比选公告规定的条件的；</w:t>
      </w:r>
    </w:p>
    <w:p>
      <w:pPr>
        <w:spacing w:line="560" w:lineRule="exact"/>
        <w:ind w:firstLine="640" w:firstLineChars="200"/>
        <w:rPr>
          <w:rFonts w:hAnsi="宋体"/>
          <w:sz w:val="32"/>
          <w:szCs w:val="32"/>
          <w:highlight w:val="none"/>
        </w:rPr>
      </w:pPr>
      <w:r>
        <w:rPr>
          <w:rFonts w:hAnsi="宋体"/>
          <w:sz w:val="32"/>
          <w:szCs w:val="32"/>
          <w:highlight w:val="none"/>
        </w:rPr>
        <w:t>（二）比选申请人少于</w:t>
      </w:r>
      <w:r>
        <w:rPr>
          <w:rFonts w:hint="eastAsia" w:hAnsi="宋体"/>
          <w:sz w:val="32"/>
          <w:szCs w:val="32"/>
          <w:highlight w:val="none"/>
          <w:lang w:val="en-US" w:eastAsia="zh-CN"/>
        </w:rPr>
        <w:t>3</w:t>
      </w:r>
      <w:r>
        <w:rPr>
          <w:rFonts w:hAnsi="宋体"/>
          <w:sz w:val="32"/>
          <w:szCs w:val="32"/>
          <w:highlight w:val="none"/>
        </w:rPr>
        <w:t>个的；</w:t>
      </w:r>
    </w:p>
    <w:p>
      <w:pPr>
        <w:spacing w:line="560" w:lineRule="exact"/>
        <w:ind w:firstLine="640" w:firstLineChars="200"/>
        <w:rPr>
          <w:rFonts w:hAnsi="宋体"/>
          <w:sz w:val="32"/>
          <w:szCs w:val="32"/>
          <w:highlight w:val="none"/>
        </w:rPr>
      </w:pPr>
      <w:r>
        <w:rPr>
          <w:rFonts w:hAnsi="宋体"/>
          <w:sz w:val="32"/>
          <w:szCs w:val="32"/>
          <w:highlight w:val="none"/>
        </w:rPr>
        <w:t>（三）所有比选申请人的报价高于“最高限价”的。</w:t>
      </w:r>
    </w:p>
    <w:p>
      <w:pPr>
        <w:pStyle w:val="5"/>
        <w:spacing w:line="560" w:lineRule="exact"/>
        <w:ind w:firstLine="643" w:firstLineChars="200"/>
        <w:rPr>
          <w:rFonts w:ascii="宋体" w:hAnsi="宋体"/>
          <w:szCs w:val="32"/>
          <w:highlight w:val="none"/>
        </w:rPr>
      </w:pPr>
      <w:bookmarkStart w:id="156" w:name="_Toc447541177"/>
      <w:bookmarkStart w:id="157" w:name="_Toc447639739"/>
      <w:r>
        <w:rPr>
          <w:rFonts w:ascii="宋体" w:hAnsi="宋体"/>
          <w:szCs w:val="32"/>
          <w:highlight w:val="none"/>
        </w:rPr>
        <w:t>8.2 不再比选</w:t>
      </w:r>
      <w:bookmarkEnd w:id="156"/>
      <w:bookmarkEnd w:id="157"/>
    </w:p>
    <w:p>
      <w:pPr>
        <w:spacing w:line="560" w:lineRule="exact"/>
        <w:ind w:firstLine="640" w:firstLineChars="200"/>
        <w:rPr>
          <w:rFonts w:hAnsi="宋体"/>
          <w:sz w:val="32"/>
          <w:szCs w:val="32"/>
          <w:highlight w:val="none"/>
        </w:rPr>
      </w:pPr>
      <w:r>
        <w:rPr>
          <w:rFonts w:hAnsi="宋体"/>
          <w:sz w:val="32"/>
          <w:szCs w:val="32"/>
          <w:highlight w:val="none"/>
        </w:rPr>
        <w:t>参照《四川省国资委及出资企业中介机构选聘管理试行办法》第十三条的规定依法重新组织比选再次失败的，经批准同意后可以不再进行比选。不再比选的，由比选人直接确定承包人，但参加了比选竞争、符合比选公告规定条件的比选申请人在同等条件下享有优先权。</w:t>
      </w:r>
    </w:p>
    <w:p>
      <w:pPr>
        <w:pStyle w:val="4"/>
        <w:spacing w:before="0" w:after="0" w:line="560" w:lineRule="exact"/>
        <w:ind w:firstLine="643" w:firstLineChars="200"/>
        <w:rPr>
          <w:rFonts w:ascii="宋体" w:hAnsi="宋体" w:eastAsia="宋体"/>
          <w:szCs w:val="32"/>
          <w:highlight w:val="none"/>
        </w:rPr>
      </w:pPr>
      <w:bookmarkStart w:id="158" w:name="_Toc447725045"/>
      <w:bookmarkStart w:id="159" w:name="_Toc325546760"/>
      <w:bookmarkStart w:id="160" w:name="_Toc447639740"/>
      <w:bookmarkStart w:id="161" w:name="_Toc447541178"/>
      <w:bookmarkStart w:id="162" w:name="_Toc416593121"/>
      <w:bookmarkStart w:id="163" w:name="_Toc309138156"/>
      <w:r>
        <w:rPr>
          <w:rFonts w:ascii="宋体" w:hAnsi="宋体" w:eastAsia="宋体"/>
          <w:szCs w:val="32"/>
          <w:highlight w:val="none"/>
        </w:rPr>
        <w:t>9 纪律和监督</w:t>
      </w:r>
      <w:bookmarkEnd w:id="158"/>
      <w:bookmarkEnd w:id="159"/>
      <w:bookmarkEnd w:id="160"/>
      <w:bookmarkEnd w:id="161"/>
      <w:bookmarkEnd w:id="162"/>
      <w:bookmarkEnd w:id="163"/>
    </w:p>
    <w:p>
      <w:pPr>
        <w:pStyle w:val="5"/>
        <w:spacing w:line="560" w:lineRule="exact"/>
        <w:ind w:firstLine="643" w:firstLineChars="200"/>
        <w:rPr>
          <w:rFonts w:ascii="宋体" w:hAnsi="宋体"/>
          <w:szCs w:val="32"/>
          <w:highlight w:val="none"/>
        </w:rPr>
      </w:pPr>
      <w:bookmarkStart w:id="164" w:name="_Toc447541179"/>
      <w:bookmarkStart w:id="165" w:name="_Toc447639741"/>
      <w:r>
        <w:rPr>
          <w:rFonts w:ascii="宋体" w:hAnsi="宋体"/>
          <w:szCs w:val="32"/>
          <w:highlight w:val="none"/>
        </w:rPr>
        <w:t>9.1 对比选人的纪律要求</w:t>
      </w:r>
      <w:bookmarkEnd w:id="164"/>
      <w:bookmarkEnd w:id="165"/>
    </w:p>
    <w:p>
      <w:pPr>
        <w:spacing w:line="560" w:lineRule="exact"/>
        <w:ind w:firstLine="640" w:firstLineChars="200"/>
        <w:rPr>
          <w:rFonts w:hAnsi="宋体"/>
          <w:sz w:val="32"/>
          <w:szCs w:val="32"/>
          <w:highlight w:val="none"/>
        </w:rPr>
      </w:pPr>
      <w:r>
        <w:rPr>
          <w:rFonts w:hAnsi="宋体"/>
          <w:sz w:val="32"/>
          <w:szCs w:val="32"/>
          <w:highlight w:val="none"/>
        </w:rPr>
        <w:t>比选人不得泄漏比选活动中应当保密的情况和资料，不得与比选申请人串通损害国家利益、社会公共利益或者他人合法权益。</w:t>
      </w:r>
    </w:p>
    <w:p>
      <w:pPr>
        <w:pStyle w:val="5"/>
        <w:spacing w:line="560" w:lineRule="exact"/>
        <w:ind w:firstLine="643" w:firstLineChars="200"/>
        <w:rPr>
          <w:rFonts w:ascii="宋体" w:hAnsi="宋体"/>
          <w:szCs w:val="32"/>
          <w:highlight w:val="none"/>
        </w:rPr>
      </w:pPr>
      <w:bookmarkStart w:id="166" w:name="_Toc447541180"/>
      <w:bookmarkStart w:id="167" w:name="_Toc447639742"/>
      <w:r>
        <w:rPr>
          <w:rFonts w:ascii="宋体" w:hAnsi="宋体"/>
          <w:szCs w:val="32"/>
          <w:highlight w:val="none"/>
        </w:rPr>
        <w:t>9.2 对比选申请人的纪律要求</w:t>
      </w:r>
      <w:bookmarkEnd w:id="166"/>
      <w:bookmarkEnd w:id="167"/>
    </w:p>
    <w:p>
      <w:pPr>
        <w:spacing w:line="560" w:lineRule="exact"/>
        <w:ind w:firstLine="640" w:firstLineChars="200"/>
        <w:rPr>
          <w:rFonts w:hAnsi="宋体"/>
          <w:sz w:val="32"/>
          <w:szCs w:val="32"/>
          <w:highlight w:val="none"/>
        </w:rPr>
      </w:pPr>
      <w:r>
        <w:rPr>
          <w:rFonts w:hAnsi="宋体"/>
          <w:sz w:val="32"/>
          <w:szCs w:val="32"/>
          <w:highlight w:val="none"/>
        </w:rPr>
        <w:t>比选申请人不得相互串通比选或者与比选人串通比选，不得向比选人或者评审委员会成员行贿谋取中标，不得以他人名义比选或者以其他方式弄虚作假骗取中标；比选申请人不得以任何方式干扰、影响评审工作。</w:t>
      </w:r>
    </w:p>
    <w:p>
      <w:pPr>
        <w:pStyle w:val="5"/>
        <w:spacing w:line="560" w:lineRule="exact"/>
        <w:ind w:firstLine="643" w:firstLineChars="200"/>
        <w:rPr>
          <w:rFonts w:ascii="宋体" w:hAnsi="宋体"/>
          <w:szCs w:val="32"/>
          <w:highlight w:val="none"/>
        </w:rPr>
      </w:pPr>
      <w:bookmarkStart w:id="168" w:name="_Toc447541181"/>
      <w:bookmarkStart w:id="169" w:name="_Toc447639743"/>
      <w:r>
        <w:rPr>
          <w:rFonts w:ascii="宋体" w:hAnsi="宋体"/>
          <w:szCs w:val="32"/>
          <w:highlight w:val="none"/>
        </w:rPr>
        <w:t>9.3 对评审委员会成员的纪律要求</w:t>
      </w:r>
      <w:bookmarkEnd w:id="168"/>
      <w:bookmarkEnd w:id="169"/>
    </w:p>
    <w:p>
      <w:pPr>
        <w:spacing w:line="560" w:lineRule="exact"/>
        <w:ind w:firstLine="640" w:firstLineChars="200"/>
        <w:rPr>
          <w:rFonts w:hAnsi="宋体"/>
          <w:sz w:val="32"/>
          <w:szCs w:val="32"/>
          <w:highlight w:val="none"/>
        </w:rPr>
      </w:pPr>
      <w:r>
        <w:rPr>
          <w:rFonts w:hAnsi="宋体"/>
          <w:sz w:val="32"/>
          <w:szCs w:val="32"/>
          <w:highlight w:val="none"/>
        </w:rPr>
        <w:t>评审委员会成员不得收受他人的财物或者其他好处，不得向他人透漏对比选申请文件的评审和比较、中标候选人的推荐情况以及评审有关的其他情况。在评审活动中，评审委员会成员不得擅离职守，影响评审程序正常进行，不得使用第三章“评审办法”没有规定的评审因素和标准进行评审。</w:t>
      </w:r>
    </w:p>
    <w:p>
      <w:pPr>
        <w:pStyle w:val="5"/>
        <w:spacing w:line="560" w:lineRule="exact"/>
        <w:ind w:firstLine="643" w:firstLineChars="200"/>
        <w:rPr>
          <w:rFonts w:ascii="宋体" w:hAnsi="宋体"/>
          <w:szCs w:val="32"/>
          <w:highlight w:val="none"/>
        </w:rPr>
      </w:pPr>
      <w:bookmarkStart w:id="170" w:name="_Toc447639744"/>
      <w:bookmarkStart w:id="171" w:name="_Toc447541182"/>
      <w:r>
        <w:rPr>
          <w:rFonts w:ascii="宋体" w:hAnsi="宋体"/>
          <w:szCs w:val="32"/>
          <w:highlight w:val="none"/>
        </w:rPr>
        <w:t>9.4 对与评审活动有关的工作人员的纪律要求</w:t>
      </w:r>
      <w:bookmarkEnd w:id="170"/>
      <w:bookmarkEnd w:id="171"/>
    </w:p>
    <w:p>
      <w:pPr>
        <w:spacing w:line="560" w:lineRule="exact"/>
        <w:ind w:firstLine="640" w:firstLineChars="200"/>
        <w:rPr>
          <w:rFonts w:hAnsi="宋体"/>
          <w:sz w:val="32"/>
          <w:szCs w:val="32"/>
          <w:highlight w:val="none"/>
        </w:rPr>
      </w:pPr>
      <w:r>
        <w:rPr>
          <w:rFonts w:hAnsi="宋体"/>
          <w:sz w:val="32"/>
          <w:szCs w:val="32"/>
          <w:highlight w:val="none"/>
        </w:rPr>
        <w:t>与评审活动有关的工作人员不得收受他人的财物或者其他好处，不得向他人透漏对比选申请文件的评审和比较、中标候选人的推荐情况以及评审有关的其他情况。在评审活动中，与评审活动有关的工作人员不得擅离职守，影响评审程序正常进行。</w:t>
      </w:r>
    </w:p>
    <w:p>
      <w:pPr>
        <w:pStyle w:val="5"/>
        <w:spacing w:line="560" w:lineRule="exact"/>
        <w:ind w:firstLine="643" w:firstLineChars="200"/>
        <w:rPr>
          <w:rFonts w:ascii="宋体" w:hAnsi="宋体"/>
          <w:szCs w:val="32"/>
          <w:highlight w:val="none"/>
        </w:rPr>
      </w:pPr>
      <w:bookmarkStart w:id="172" w:name="_Toc447541183"/>
      <w:bookmarkStart w:id="173" w:name="_Toc447639745"/>
      <w:r>
        <w:rPr>
          <w:rFonts w:ascii="宋体" w:hAnsi="宋体"/>
          <w:szCs w:val="32"/>
          <w:highlight w:val="none"/>
        </w:rPr>
        <w:t>9.5 投诉</w:t>
      </w:r>
      <w:bookmarkEnd w:id="172"/>
      <w:bookmarkEnd w:id="173"/>
    </w:p>
    <w:p>
      <w:pPr>
        <w:spacing w:line="560" w:lineRule="exact"/>
        <w:ind w:firstLine="640" w:firstLineChars="200"/>
        <w:rPr>
          <w:rFonts w:hAnsi="宋体"/>
          <w:sz w:val="32"/>
          <w:szCs w:val="32"/>
          <w:highlight w:val="none"/>
        </w:rPr>
      </w:pPr>
      <w:r>
        <w:rPr>
          <w:rFonts w:hAnsi="宋体"/>
          <w:sz w:val="32"/>
          <w:szCs w:val="32"/>
          <w:highlight w:val="none"/>
        </w:rPr>
        <w:t>比选申请人和其他利害关系人认为本次比选活动违反法律、法规和规章规定的，有权向有关行政监督部门投诉。</w:t>
      </w:r>
    </w:p>
    <w:p>
      <w:pPr>
        <w:pStyle w:val="4"/>
        <w:spacing w:before="0" w:after="0" w:line="560" w:lineRule="exact"/>
        <w:ind w:firstLine="643" w:firstLineChars="200"/>
        <w:rPr>
          <w:rFonts w:ascii="宋体" w:hAnsi="宋体" w:eastAsia="宋体"/>
          <w:szCs w:val="32"/>
          <w:highlight w:val="none"/>
        </w:rPr>
      </w:pPr>
      <w:bookmarkStart w:id="174" w:name="_Toc447639746"/>
      <w:bookmarkStart w:id="175" w:name="_Toc447541184"/>
      <w:bookmarkStart w:id="176" w:name="_Toc325546761"/>
      <w:bookmarkStart w:id="177" w:name="_Toc309138157"/>
      <w:bookmarkStart w:id="178" w:name="_Toc416593122"/>
      <w:bookmarkStart w:id="179" w:name="_Toc447725046"/>
      <w:r>
        <w:rPr>
          <w:rFonts w:ascii="宋体" w:hAnsi="宋体" w:eastAsia="宋体"/>
          <w:szCs w:val="32"/>
          <w:highlight w:val="none"/>
        </w:rPr>
        <w:t>10 需要补充的其他内容</w:t>
      </w:r>
      <w:bookmarkEnd w:id="174"/>
      <w:bookmarkEnd w:id="175"/>
      <w:bookmarkEnd w:id="176"/>
      <w:bookmarkEnd w:id="177"/>
      <w:bookmarkEnd w:id="178"/>
      <w:bookmarkEnd w:id="179"/>
    </w:p>
    <w:p>
      <w:pPr>
        <w:spacing w:line="560" w:lineRule="exact"/>
        <w:ind w:firstLine="640" w:firstLineChars="200"/>
        <w:rPr>
          <w:rFonts w:hAnsi="宋体"/>
          <w:sz w:val="32"/>
          <w:szCs w:val="32"/>
          <w:highlight w:val="none"/>
        </w:rPr>
      </w:pPr>
      <w:r>
        <w:rPr>
          <w:rFonts w:hAnsi="宋体"/>
          <w:sz w:val="32"/>
          <w:szCs w:val="32"/>
          <w:highlight w:val="none"/>
        </w:rPr>
        <w:t>需要补充的其他内容：见比选申请人须知前附表。</w:t>
      </w:r>
    </w:p>
    <w:p>
      <w:pPr>
        <w:spacing w:line="560" w:lineRule="exact"/>
        <w:ind w:firstLine="640" w:firstLineChars="200"/>
        <w:rPr>
          <w:rFonts w:hAnsi="宋体"/>
          <w:sz w:val="32"/>
          <w:szCs w:val="32"/>
          <w:highlight w:val="none"/>
        </w:rPr>
      </w:pPr>
    </w:p>
    <w:p>
      <w:pPr>
        <w:spacing w:line="560" w:lineRule="exact"/>
        <w:rPr>
          <w:rFonts w:hAnsi="宋体"/>
          <w:sz w:val="21"/>
          <w:szCs w:val="21"/>
          <w:highlight w:val="none"/>
        </w:rPr>
        <w:sectPr>
          <w:pgSz w:w="11906" w:h="16838"/>
          <w:pgMar w:top="1418" w:right="1304" w:bottom="1418" w:left="1701" w:header="851" w:footer="851" w:gutter="0"/>
          <w:cols w:space="720" w:num="1"/>
          <w:docGrid w:linePitch="312" w:charSpace="0"/>
        </w:sectPr>
      </w:pPr>
    </w:p>
    <w:p>
      <w:pPr>
        <w:pStyle w:val="3"/>
        <w:spacing w:line="560" w:lineRule="exact"/>
        <w:jc w:val="center"/>
        <w:rPr>
          <w:rFonts w:ascii="宋体" w:hAnsi="宋体"/>
          <w:highlight w:val="none"/>
        </w:rPr>
      </w:pPr>
      <w:bookmarkStart w:id="180" w:name="_Toc447541185"/>
      <w:bookmarkStart w:id="181" w:name="_Toc447725047"/>
      <w:bookmarkStart w:id="182" w:name="_Toc447639747"/>
      <w:bookmarkStart w:id="183" w:name="_Toc333936194"/>
      <w:bookmarkStart w:id="184" w:name="_Toc72304715"/>
      <w:bookmarkStart w:id="185" w:name="_Toc231107921"/>
      <w:bookmarkStart w:id="186" w:name="_Toc333936193"/>
      <w:bookmarkStart w:id="187" w:name="_Toc184635097"/>
      <w:bookmarkStart w:id="188" w:name="_Toc52190693"/>
      <w:bookmarkStart w:id="189" w:name="_Toc51752010"/>
      <w:bookmarkStart w:id="190" w:name="_Toc51752005"/>
      <w:bookmarkStart w:id="191" w:name="_Toc231107922"/>
      <w:bookmarkStart w:id="192" w:name="_Toc72304713"/>
      <w:bookmarkStart w:id="193" w:name="_Toc52190691"/>
      <w:r>
        <w:rPr>
          <w:rFonts w:ascii="宋体" w:hAnsi="宋体"/>
          <w:highlight w:val="none"/>
        </w:rPr>
        <w:t>第三章 评审办法</w:t>
      </w:r>
      <w:bookmarkEnd w:id="180"/>
      <w:bookmarkEnd w:id="181"/>
      <w:bookmarkEnd w:id="182"/>
    </w:p>
    <w:p>
      <w:pPr>
        <w:spacing w:line="560" w:lineRule="exact"/>
        <w:jc w:val="center"/>
        <w:rPr>
          <w:rFonts w:hAnsi="宋体"/>
          <w:sz w:val="32"/>
          <w:szCs w:val="32"/>
          <w:highlight w:val="none"/>
        </w:rPr>
      </w:pPr>
      <w:bookmarkStart w:id="194" w:name="_Toc447541186"/>
      <w:bookmarkStart w:id="195" w:name="_Toc447725048"/>
      <w:bookmarkStart w:id="196" w:name="_Toc447639748"/>
      <w:r>
        <w:rPr>
          <w:rFonts w:hAnsi="宋体"/>
          <w:sz w:val="32"/>
          <w:szCs w:val="32"/>
          <w:highlight w:val="none"/>
        </w:rPr>
        <w:t>评审办法前附表</w:t>
      </w:r>
      <w:bookmarkEnd w:id="194"/>
      <w:bookmarkEnd w:id="195"/>
      <w:bookmarkEnd w:id="196"/>
    </w:p>
    <w:tbl>
      <w:tblPr>
        <w:tblStyle w:val="16"/>
        <w:tblW w:w="10119" w:type="dxa"/>
        <w:tblInd w:w="-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332"/>
        <w:gridCol w:w="1005"/>
        <w:gridCol w:w="508"/>
        <w:gridCol w:w="1642"/>
        <w:gridCol w:w="422"/>
        <w:gridCol w:w="5035"/>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448" w:hRule="atLeast"/>
        </w:trPr>
        <w:tc>
          <w:tcPr>
            <w:tcW w:w="2276" w:type="dxa"/>
            <w:gridSpan w:val="3"/>
            <w:vAlign w:val="center"/>
          </w:tcPr>
          <w:p>
            <w:pPr>
              <w:spacing w:line="400" w:lineRule="exact"/>
              <w:jc w:val="center"/>
              <w:rPr>
                <w:rFonts w:hAnsi="宋体"/>
                <w:sz w:val="28"/>
                <w:szCs w:val="28"/>
                <w:highlight w:val="none"/>
              </w:rPr>
            </w:pPr>
            <w:r>
              <w:rPr>
                <w:rFonts w:hAnsi="宋体"/>
                <w:sz w:val="28"/>
                <w:szCs w:val="28"/>
                <w:highlight w:val="none"/>
              </w:rPr>
              <w:t>条款号</w:t>
            </w: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评审因素</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restart"/>
            <w:vAlign w:val="center"/>
          </w:tcPr>
          <w:p>
            <w:pPr>
              <w:spacing w:line="400" w:lineRule="exact"/>
              <w:jc w:val="center"/>
              <w:rPr>
                <w:rFonts w:hAnsi="宋体"/>
                <w:sz w:val="28"/>
                <w:szCs w:val="28"/>
                <w:highlight w:val="none"/>
              </w:rPr>
            </w:pPr>
            <w:r>
              <w:rPr>
                <w:rFonts w:hAnsi="宋体"/>
                <w:sz w:val="28"/>
                <w:szCs w:val="28"/>
                <w:highlight w:val="none"/>
              </w:rPr>
              <w:t>2.1.1</w:t>
            </w:r>
          </w:p>
        </w:tc>
        <w:tc>
          <w:tcPr>
            <w:tcW w:w="1337" w:type="dxa"/>
            <w:gridSpan w:val="2"/>
            <w:vMerge w:val="restart"/>
            <w:vAlign w:val="center"/>
          </w:tcPr>
          <w:p>
            <w:pPr>
              <w:spacing w:line="400" w:lineRule="exact"/>
              <w:jc w:val="center"/>
              <w:rPr>
                <w:rFonts w:hAnsi="宋体"/>
                <w:sz w:val="28"/>
                <w:szCs w:val="28"/>
                <w:highlight w:val="none"/>
              </w:rPr>
            </w:pPr>
            <w:r>
              <w:rPr>
                <w:rFonts w:hAnsi="宋体"/>
                <w:sz w:val="28"/>
                <w:szCs w:val="28"/>
                <w:highlight w:val="none"/>
              </w:rPr>
              <w:t>形式评审标准</w:t>
            </w: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比选人名称</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签字、盖章</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符合第二章“比选申请人须知”第3.7.3 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副本份数</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符合第二章“比选申请人须知”第3.7.4项要求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比选申请文件格式</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符合第五章“比选申请文件格式”的要求和符合第二章“比选申请人须知”第3.7.1项要求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报价唯一</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只能有一个有效报价，即符合第二章“比选申请人须知”第10.2款要求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restart"/>
            <w:vAlign w:val="center"/>
          </w:tcPr>
          <w:p>
            <w:pPr>
              <w:spacing w:line="400" w:lineRule="exact"/>
              <w:jc w:val="center"/>
              <w:rPr>
                <w:rFonts w:hAnsi="宋体"/>
                <w:sz w:val="28"/>
                <w:szCs w:val="28"/>
                <w:highlight w:val="none"/>
              </w:rPr>
            </w:pPr>
            <w:r>
              <w:rPr>
                <w:rFonts w:hAnsi="宋体"/>
                <w:sz w:val="28"/>
                <w:szCs w:val="28"/>
                <w:highlight w:val="none"/>
              </w:rPr>
              <w:t>2.1.2</w:t>
            </w:r>
          </w:p>
        </w:tc>
        <w:tc>
          <w:tcPr>
            <w:tcW w:w="1337" w:type="dxa"/>
            <w:gridSpan w:val="2"/>
            <w:vMerge w:val="restart"/>
            <w:vAlign w:val="center"/>
          </w:tcPr>
          <w:p>
            <w:pPr>
              <w:spacing w:line="400" w:lineRule="exact"/>
              <w:jc w:val="center"/>
              <w:rPr>
                <w:rFonts w:hAnsi="宋体"/>
                <w:sz w:val="28"/>
                <w:szCs w:val="28"/>
                <w:highlight w:val="none"/>
              </w:rPr>
            </w:pPr>
            <w:r>
              <w:rPr>
                <w:rFonts w:hAnsi="宋体"/>
                <w:sz w:val="28"/>
                <w:szCs w:val="28"/>
                <w:highlight w:val="none"/>
              </w:rPr>
              <w:t>资格评审标准</w:t>
            </w:r>
          </w:p>
        </w:tc>
        <w:tc>
          <w:tcPr>
            <w:tcW w:w="2572" w:type="dxa"/>
            <w:gridSpan w:val="3"/>
            <w:vAlign w:val="center"/>
          </w:tcPr>
          <w:p>
            <w:pPr>
              <w:spacing w:line="400" w:lineRule="exact"/>
              <w:jc w:val="center"/>
              <w:rPr>
                <w:rFonts w:hint="default" w:hAnsi="宋体" w:eastAsia="宋体"/>
                <w:sz w:val="28"/>
                <w:szCs w:val="28"/>
                <w:highlight w:val="none"/>
                <w:lang w:val="en-US" w:eastAsia="zh-CN"/>
              </w:rPr>
            </w:pPr>
            <w:r>
              <w:rPr>
                <w:rFonts w:hAnsi="宋体"/>
                <w:sz w:val="28"/>
                <w:szCs w:val="28"/>
                <w:highlight w:val="none"/>
              </w:rPr>
              <w:t>营业执照</w:t>
            </w:r>
            <w:r>
              <w:rPr>
                <w:rFonts w:hint="default" w:hAnsi="宋体"/>
                <w:sz w:val="28"/>
                <w:szCs w:val="28"/>
                <w:highlight w:val="none"/>
                <w:lang w:val="en-US" w:eastAsia="zh-CN"/>
              </w:rPr>
              <w:t>及资质</w:t>
            </w:r>
          </w:p>
        </w:tc>
        <w:tc>
          <w:tcPr>
            <w:tcW w:w="5035" w:type="dxa"/>
            <w:vAlign w:val="center"/>
          </w:tcPr>
          <w:p>
            <w:pPr>
              <w:spacing w:line="400" w:lineRule="exact"/>
              <w:jc w:val="center"/>
              <w:rPr>
                <w:rFonts w:hint="eastAsia" w:hAnsi="宋体" w:eastAsia="宋体"/>
                <w:sz w:val="28"/>
                <w:szCs w:val="28"/>
                <w:highlight w:val="none"/>
                <w:lang w:eastAsia="zh-CN"/>
              </w:rPr>
            </w:pPr>
            <w:r>
              <w:rPr>
                <w:rFonts w:hAnsi="宋体"/>
                <w:sz w:val="28"/>
                <w:szCs w:val="28"/>
                <w:highlight w:val="none"/>
              </w:rPr>
              <w:t>具备有效的营业执照</w:t>
            </w:r>
            <w:r>
              <w:rPr>
                <w:rFonts w:hint="eastAsia" w:hAnsi="宋体"/>
                <w:sz w:val="28"/>
                <w:szCs w:val="28"/>
                <w:highlight w:val="none"/>
                <w:lang w:eastAsia="zh-CN"/>
              </w:rPr>
              <w:t>，</w:t>
            </w:r>
            <w:r>
              <w:rPr>
                <w:rFonts w:hint="eastAsia" w:hAnsi="宋体"/>
                <w:sz w:val="28"/>
                <w:szCs w:val="28"/>
                <w:highlight w:val="none"/>
                <w:lang w:val="en-US" w:eastAsia="zh-CN"/>
              </w:rPr>
              <w:t>资质要求</w:t>
            </w:r>
            <w:r>
              <w:rPr>
                <w:rFonts w:hint="eastAsia" w:hAnsi="宋体"/>
                <w:sz w:val="28"/>
                <w:szCs w:val="28"/>
                <w:highlight w:val="none"/>
                <w:lang w:eastAsia="zh-CN"/>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vAlign w:val="center"/>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类似项目业绩</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vAlign w:val="center"/>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信誉</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vAlign w:val="center"/>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主要人员</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vAlign w:val="center"/>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其他要求</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符合第二章“比选申请人须知”第1.4.1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restart"/>
            <w:vAlign w:val="center"/>
          </w:tcPr>
          <w:p>
            <w:pPr>
              <w:spacing w:line="400" w:lineRule="exact"/>
              <w:jc w:val="center"/>
              <w:rPr>
                <w:rFonts w:hAnsi="宋体"/>
                <w:sz w:val="28"/>
                <w:szCs w:val="28"/>
                <w:highlight w:val="none"/>
              </w:rPr>
            </w:pPr>
            <w:r>
              <w:rPr>
                <w:rFonts w:hAnsi="宋体"/>
                <w:sz w:val="28"/>
                <w:szCs w:val="28"/>
                <w:highlight w:val="none"/>
              </w:rPr>
              <w:t>2.1.3</w:t>
            </w:r>
          </w:p>
        </w:tc>
        <w:tc>
          <w:tcPr>
            <w:tcW w:w="1337" w:type="dxa"/>
            <w:gridSpan w:val="2"/>
            <w:vMerge w:val="restart"/>
            <w:vAlign w:val="center"/>
          </w:tcPr>
          <w:p>
            <w:pPr>
              <w:spacing w:line="400" w:lineRule="exact"/>
              <w:jc w:val="center"/>
              <w:rPr>
                <w:rFonts w:hAnsi="宋体"/>
                <w:sz w:val="28"/>
                <w:szCs w:val="28"/>
                <w:highlight w:val="none"/>
              </w:rPr>
            </w:pPr>
            <w:r>
              <w:rPr>
                <w:rFonts w:hAnsi="宋体"/>
                <w:sz w:val="28"/>
                <w:szCs w:val="28"/>
                <w:highlight w:val="none"/>
              </w:rPr>
              <w:t>响应性评审标准</w:t>
            </w: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比选内容</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服务周期</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符合第二章“比选申请人须知”第1.3.2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质量要求</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符合第二章“比选申请人须知”第1.3.3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比选有效期</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符合第二章“比选申请人须知”第3.3.1项规定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权利义务</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服务内容和要求</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符合第四章“附件”规定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939" w:type="dxa"/>
            <w:vMerge w:val="continue"/>
            <w:vAlign w:val="center"/>
          </w:tcPr>
          <w:p>
            <w:pPr>
              <w:spacing w:line="400" w:lineRule="exact"/>
              <w:jc w:val="center"/>
              <w:rPr>
                <w:rFonts w:hAnsi="宋体"/>
                <w:sz w:val="28"/>
                <w:szCs w:val="28"/>
                <w:highlight w:val="none"/>
              </w:rPr>
            </w:pPr>
          </w:p>
        </w:tc>
        <w:tc>
          <w:tcPr>
            <w:tcW w:w="1337" w:type="dxa"/>
            <w:gridSpan w:val="2"/>
            <w:vMerge w:val="continue"/>
          </w:tcPr>
          <w:p>
            <w:pPr>
              <w:spacing w:line="400" w:lineRule="exact"/>
              <w:jc w:val="center"/>
              <w:rPr>
                <w:rFonts w:hAnsi="宋体"/>
                <w:sz w:val="28"/>
                <w:szCs w:val="28"/>
                <w:highlight w:val="none"/>
              </w:rPr>
            </w:pP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比选最高限价</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比选报价（修正价）不得超过第二章“比选申请人须知”</w:t>
            </w:r>
            <w:r>
              <w:rPr>
                <w:rFonts w:hint="eastAsia" w:hAnsi="宋体"/>
                <w:sz w:val="28"/>
                <w:szCs w:val="28"/>
                <w:highlight w:val="none"/>
              </w:rPr>
              <w:t>10</w:t>
            </w:r>
            <w:r>
              <w:rPr>
                <w:rFonts w:hAnsi="宋体"/>
                <w:sz w:val="28"/>
                <w:szCs w:val="28"/>
                <w:highlight w:val="none"/>
              </w:rPr>
              <w:t>.1项规定的比选最高限价。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2276" w:type="dxa"/>
            <w:gridSpan w:val="3"/>
            <w:vAlign w:val="center"/>
          </w:tcPr>
          <w:p>
            <w:pPr>
              <w:spacing w:line="400" w:lineRule="exact"/>
              <w:jc w:val="center"/>
              <w:rPr>
                <w:rFonts w:hAnsi="宋体"/>
                <w:sz w:val="28"/>
                <w:szCs w:val="28"/>
                <w:highlight w:val="none"/>
              </w:rPr>
            </w:pPr>
            <w:r>
              <w:rPr>
                <w:rFonts w:hAnsi="宋体"/>
                <w:sz w:val="28"/>
                <w:szCs w:val="28"/>
                <w:highlight w:val="none"/>
              </w:rPr>
              <w:t>2.2.2</w:t>
            </w: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分值构成（总分100分）</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风险评审：   30  分</w:t>
            </w:r>
          </w:p>
          <w:p>
            <w:pPr>
              <w:spacing w:line="400" w:lineRule="exact"/>
              <w:jc w:val="center"/>
              <w:rPr>
                <w:rFonts w:hAnsi="宋体"/>
                <w:sz w:val="28"/>
                <w:szCs w:val="28"/>
                <w:highlight w:val="none"/>
              </w:rPr>
            </w:pPr>
            <w:r>
              <w:rPr>
                <w:rFonts w:hAnsi="宋体"/>
                <w:sz w:val="28"/>
                <w:szCs w:val="28"/>
                <w:highlight w:val="none"/>
              </w:rPr>
              <w:t>商务评审：   30  分</w:t>
            </w:r>
          </w:p>
          <w:p>
            <w:pPr>
              <w:spacing w:line="400" w:lineRule="exact"/>
              <w:jc w:val="center"/>
              <w:rPr>
                <w:rFonts w:hAnsi="宋体"/>
                <w:sz w:val="28"/>
                <w:szCs w:val="28"/>
                <w:highlight w:val="none"/>
              </w:rPr>
            </w:pPr>
            <w:r>
              <w:rPr>
                <w:rFonts w:hAnsi="宋体"/>
                <w:sz w:val="28"/>
                <w:szCs w:val="28"/>
                <w:highlight w:val="none"/>
              </w:rPr>
              <w:t>技术评审：   40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2276" w:type="dxa"/>
            <w:gridSpan w:val="3"/>
            <w:vAlign w:val="center"/>
          </w:tcPr>
          <w:p>
            <w:pPr>
              <w:spacing w:line="400" w:lineRule="exact"/>
              <w:jc w:val="center"/>
              <w:rPr>
                <w:rFonts w:hAnsi="宋体"/>
                <w:sz w:val="28"/>
                <w:szCs w:val="28"/>
                <w:highlight w:val="none"/>
              </w:rPr>
            </w:pPr>
            <w:r>
              <w:rPr>
                <w:rFonts w:hAnsi="宋体"/>
                <w:sz w:val="28"/>
                <w:szCs w:val="28"/>
                <w:highlight w:val="none"/>
              </w:rPr>
              <w:t>2.2.2（1）</w:t>
            </w:r>
          </w:p>
        </w:tc>
        <w:tc>
          <w:tcPr>
            <w:tcW w:w="2572" w:type="dxa"/>
            <w:gridSpan w:val="3"/>
            <w:vAlign w:val="center"/>
          </w:tcPr>
          <w:p>
            <w:pPr>
              <w:spacing w:line="400" w:lineRule="exact"/>
              <w:jc w:val="center"/>
              <w:rPr>
                <w:rFonts w:hAnsi="宋体"/>
                <w:sz w:val="28"/>
                <w:szCs w:val="28"/>
                <w:highlight w:val="none"/>
              </w:rPr>
            </w:pPr>
            <w:r>
              <w:rPr>
                <w:rFonts w:hAnsi="宋体"/>
                <w:sz w:val="28"/>
                <w:szCs w:val="28"/>
                <w:highlight w:val="none"/>
              </w:rPr>
              <w:t>评审基准价计算方法</w:t>
            </w:r>
          </w:p>
        </w:tc>
        <w:tc>
          <w:tcPr>
            <w:tcW w:w="5035" w:type="dxa"/>
            <w:vAlign w:val="center"/>
          </w:tcPr>
          <w:p>
            <w:pPr>
              <w:spacing w:line="400" w:lineRule="exact"/>
              <w:jc w:val="center"/>
              <w:rPr>
                <w:rFonts w:hAnsi="宋体"/>
                <w:sz w:val="28"/>
                <w:szCs w:val="28"/>
                <w:highlight w:val="none"/>
              </w:rPr>
            </w:pPr>
            <w:r>
              <w:rPr>
                <w:rFonts w:hint="eastAsia" w:hAnsi="宋体"/>
                <w:sz w:val="28"/>
                <w:szCs w:val="28"/>
                <w:highlight w:val="none"/>
              </w:rPr>
              <w:t>满足招标文件要求且投标价格最低的投标报价为评标基准价</w:t>
            </w:r>
            <w:r>
              <w:rPr>
                <w:rFonts w:hAnsi="宋体"/>
                <w:sz w:val="28"/>
                <w:szCs w:val="28"/>
                <w:highlight w:val="none"/>
              </w:rPr>
              <w:t>为评审基准C。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2276" w:type="dxa"/>
            <w:gridSpan w:val="3"/>
            <w:vAlign w:val="center"/>
          </w:tcPr>
          <w:p>
            <w:pPr>
              <w:spacing w:line="400" w:lineRule="exact"/>
              <w:jc w:val="center"/>
              <w:rPr>
                <w:rFonts w:hAnsi="宋体"/>
                <w:sz w:val="28"/>
                <w:szCs w:val="28"/>
                <w:highlight w:val="none"/>
              </w:rPr>
            </w:pPr>
            <w:r>
              <w:rPr>
                <w:rFonts w:hAnsi="宋体"/>
                <w:sz w:val="28"/>
                <w:szCs w:val="28"/>
                <w:highlight w:val="none"/>
              </w:rPr>
              <w:t xml:space="preserve">2.2.3   </w:t>
            </w: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评审因素</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分值</w:t>
            </w:r>
          </w:p>
        </w:tc>
        <w:tc>
          <w:tcPr>
            <w:tcW w:w="5035" w:type="dxa"/>
            <w:vAlign w:val="center"/>
          </w:tcPr>
          <w:p>
            <w:pPr>
              <w:spacing w:line="400" w:lineRule="exact"/>
              <w:jc w:val="center"/>
              <w:rPr>
                <w:rFonts w:hAnsi="宋体"/>
                <w:sz w:val="28"/>
                <w:szCs w:val="28"/>
                <w:highlight w:val="none"/>
              </w:rPr>
            </w:pPr>
            <w:r>
              <w:rPr>
                <w:rFonts w:hAnsi="宋体"/>
                <w:sz w:val="28"/>
                <w:szCs w:val="28"/>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restart"/>
            <w:vAlign w:val="center"/>
          </w:tcPr>
          <w:p>
            <w:pPr>
              <w:spacing w:line="400" w:lineRule="exact"/>
              <w:jc w:val="center"/>
              <w:rPr>
                <w:rFonts w:hAnsi="宋体"/>
                <w:sz w:val="28"/>
                <w:szCs w:val="28"/>
                <w:highlight w:val="none"/>
              </w:rPr>
            </w:pPr>
            <w:r>
              <w:rPr>
                <w:rFonts w:hAnsi="宋体"/>
                <w:sz w:val="28"/>
                <w:szCs w:val="28"/>
                <w:highlight w:val="none"/>
              </w:rPr>
              <w:t>2.2.3（1）</w:t>
            </w:r>
          </w:p>
        </w:tc>
        <w:tc>
          <w:tcPr>
            <w:tcW w:w="1005" w:type="dxa"/>
            <w:vMerge w:val="restart"/>
            <w:vAlign w:val="center"/>
          </w:tcPr>
          <w:p>
            <w:pPr>
              <w:spacing w:line="400" w:lineRule="exact"/>
              <w:jc w:val="center"/>
              <w:rPr>
                <w:rFonts w:hAnsi="宋体"/>
                <w:sz w:val="28"/>
                <w:szCs w:val="28"/>
                <w:highlight w:val="none"/>
              </w:rPr>
            </w:pPr>
            <w:r>
              <w:rPr>
                <w:rFonts w:hAnsi="宋体"/>
                <w:sz w:val="28"/>
                <w:szCs w:val="28"/>
                <w:highlight w:val="none"/>
              </w:rPr>
              <w:t>风险评审</w:t>
            </w:r>
          </w:p>
          <w:p>
            <w:pPr>
              <w:spacing w:line="400" w:lineRule="exact"/>
              <w:jc w:val="center"/>
              <w:rPr>
                <w:rFonts w:hAnsi="宋体"/>
                <w:sz w:val="28"/>
                <w:szCs w:val="28"/>
                <w:highlight w:val="none"/>
              </w:rPr>
            </w:pPr>
            <w:r>
              <w:rPr>
                <w:rFonts w:hAnsi="宋体"/>
                <w:sz w:val="28"/>
                <w:szCs w:val="28"/>
                <w:highlight w:val="none"/>
              </w:rPr>
              <w:t>评分标准（30分）</w:t>
            </w: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项目</w:t>
            </w:r>
          </w:p>
          <w:p>
            <w:pPr>
              <w:spacing w:line="400" w:lineRule="exact"/>
              <w:jc w:val="center"/>
              <w:rPr>
                <w:rFonts w:hAnsi="宋体"/>
                <w:sz w:val="28"/>
                <w:szCs w:val="28"/>
                <w:highlight w:val="none"/>
              </w:rPr>
            </w:pPr>
            <w:r>
              <w:rPr>
                <w:rFonts w:hAnsi="宋体"/>
                <w:sz w:val="28"/>
                <w:szCs w:val="28"/>
                <w:highlight w:val="none"/>
              </w:rPr>
              <w:t>负责人</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12</w:t>
            </w:r>
          </w:p>
        </w:tc>
        <w:tc>
          <w:tcPr>
            <w:tcW w:w="5035" w:type="dxa"/>
            <w:vAlign w:val="center"/>
          </w:tcPr>
          <w:p>
            <w:pPr>
              <w:pStyle w:val="7"/>
              <w:spacing w:line="400" w:lineRule="exact"/>
              <w:rPr>
                <w:rFonts w:hint="eastAsia" w:ascii="宋体" w:hAnsi="宋体" w:eastAsia="宋体"/>
                <w:sz w:val="28"/>
                <w:szCs w:val="28"/>
                <w:highlight w:val="none"/>
                <w:lang w:eastAsia="zh-CN"/>
              </w:rPr>
            </w:pPr>
            <w:r>
              <w:rPr>
                <w:rFonts w:ascii="宋体" w:hAnsi="宋体"/>
                <w:spacing w:val="1"/>
                <w:kern w:val="0"/>
                <w:sz w:val="28"/>
                <w:szCs w:val="28"/>
                <w:highlight w:val="none"/>
              </w:rPr>
              <w:t>在1个</w:t>
            </w:r>
            <w:r>
              <w:rPr>
                <w:rFonts w:hint="eastAsia" w:ascii="宋体" w:hAnsi="宋体"/>
                <w:spacing w:val="1"/>
                <w:kern w:val="0"/>
                <w:sz w:val="28"/>
                <w:szCs w:val="28"/>
                <w:highlight w:val="none"/>
                <w:lang w:val="en-US" w:eastAsia="zh-CN"/>
              </w:rPr>
              <w:t>贸易类</w:t>
            </w:r>
            <w:r>
              <w:rPr>
                <w:rFonts w:ascii="宋体" w:hAnsi="宋体"/>
                <w:spacing w:val="1"/>
                <w:kern w:val="0"/>
                <w:sz w:val="28"/>
                <w:szCs w:val="28"/>
                <w:highlight w:val="none"/>
              </w:rPr>
              <w:t>国有企业人力资源咨询类似项目中担任过项目负责人得4分，每增加一个加2分，此项最高得</w:t>
            </w:r>
            <w:r>
              <w:rPr>
                <w:rFonts w:hint="eastAsia" w:ascii="宋体" w:hAnsi="宋体"/>
                <w:spacing w:val="1"/>
                <w:kern w:val="0"/>
                <w:sz w:val="28"/>
                <w:szCs w:val="28"/>
                <w:highlight w:val="none"/>
              </w:rPr>
              <w:t>12</w:t>
            </w:r>
            <w:r>
              <w:rPr>
                <w:rFonts w:ascii="宋体" w:hAnsi="宋体"/>
                <w:spacing w:val="1"/>
                <w:kern w:val="0"/>
                <w:sz w:val="28"/>
                <w:szCs w:val="28"/>
                <w:highlight w:val="none"/>
              </w:rPr>
              <w:t>分。</w:t>
            </w:r>
            <w:r>
              <w:rPr>
                <w:rFonts w:hint="eastAsia" w:ascii="宋体" w:hAnsi="宋体"/>
                <w:spacing w:val="1"/>
                <w:kern w:val="0"/>
                <w:sz w:val="28"/>
                <w:szCs w:val="28"/>
                <w:highlight w:val="none"/>
                <w:lang w:eastAsia="zh-CN"/>
              </w:rPr>
              <w:t>（</w:t>
            </w:r>
            <w:r>
              <w:rPr>
                <w:rFonts w:hint="eastAsia" w:ascii="宋体" w:hAnsi="宋体"/>
                <w:spacing w:val="1"/>
                <w:kern w:val="0"/>
                <w:sz w:val="28"/>
                <w:szCs w:val="28"/>
                <w:highlight w:val="none"/>
                <w:lang w:val="en-US" w:eastAsia="zh-CN"/>
              </w:rPr>
              <w:t>2021年至今</w:t>
            </w:r>
            <w:r>
              <w:rPr>
                <w:rFonts w:hint="eastAsia" w:ascii="宋体" w:hAnsi="宋体"/>
                <w:spacing w:val="1"/>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其他主要人员配置</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5</w:t>
            </w:r>
          </w:p>
        </w:tc>
        <w:tc>
          <w:tcPr>
            <w:tcW w:w="5035" w:type="dxa"/>
            <w:vAlign w:val="center"/>
          </w:tcPr>
          <w:p>
            <w:pPr>
              <w:spacing w:line="400" w:lineRule="exact"/>
              <w:rPr>
                <w:rFonts w:hAnsi="宋体"/>
                <w:sz w:val="28"/>
                <w:szCs w:val="28"/>
                <w:highlight w:val="none"/>
                <w:lang w:eastAsia="zh-Hans"/>
              </w:rPr>
            </w:pPr>
            <w:r>
              <w:rPr>
                <w:rFonts w:hAnsi="宋体"/>
                <w:spacing w:val="1"/>
                <w:sz w:val="28"/>
                <w:szCs w:val="28"/>
                <w:highlight w:val="none"/>
              </w:rPr>
              <w:t>主要成员有3个及以上</w:t>
            </w:r>
            <w:r>
              <w:rPr>
                <w:rFonts w:hint="eastAsia" w:hAnsi="宋体"/>
                <w:spacing w:val="1"/>
                <w:sz w:val="28"/>
                <w:szCs w:val="28"/>
                <w:highlight w:val="none"/>
              </w:rPr>
              <w:t>贸易</w:t>
            </w:r>
            <w:r>
              <w:rPr>
                <w:rFonts w:hint="eastAsia" w:hAnsi="宋体"/>
                <w:spacing w:val="1"/>
                <w:sz w:val="28"/>
                <w:szCs w:val="28"/>
                <w:highlight w:val="none"/>
                <w:lang w:val="en-US" w:eastAsia="zh-CN"/>
              </w:rPr>
              <w:t>类</w:t>
            </w:r>
            <w:r>
              <w:rPr>
                <w:rFonts w:hint="eastAsia" w:hAnsi="宋体"/>
                <w:spacing w:val="1"/>
                <w:sz w:val="28"/>
                <w:szCs w:val="28"/>
                <w:highlight w:val="none"/>
              </w:rPr>
              <w:t>企业</w:t>
            </w:r>
            <w:r>
              <w:rPr>
                <w:rFonts w:hAnsi="宋体"/>
                <w:spacing w:val="1"/>
                <w:sz w:val="28"/>
                <w:szCs w:val="28"/>
                <w:highlight w:val="none"/>
              </w:rPr>
              <w:t>人力资源业绩得5分；主要成员有2个</w:t>
            </w:r>
            <w:r>
              <w:rPr>
                <w:rFonts w:hint="eastAsia" w:hAnsi="宋体"/>
                <w:spacing w:val="1"/>
                <w:sz w:val="28"/>
                <w:szCs w:val="28"/>
                <w:highlight w:val="none"/>
                <w:lang w:val="en-US" w:eastAsia="zh-CN"/>
              </w:rPr>
              <w:t>贸易类企业</w:t>
            </w:r>
            <w:r>
              <w:rPr>
                <w:rFonts w:hAnsi="宋体"/>
                <w:spacing w:val="1"/>
                <w:sz w:val="28"/>
                <w:szCs w:val="28"/>
                <w:highlight w:val="none"/>
              </w:rPr>
              <w:t>人力资源业绩得3分；主要成员有1个</w:t>
            </w:r>
            <w:r>
              <w:rPr>
                <w:rFonts w:hint="eastAsia" w:hAnsi="宋体"/>
                <w:spacing w:val="1"/>
                <w:sz w:val="28"/>
                <w:szCs w:val="28"/>
                <w:highlight w:val="none"/>
                <w:lang w:val="en-US" w:eastAsia="zh-CN"/>
              </w:rPr>
              <w:t>贸易类企业</w:t>
            </w:r>
            <w:r>
              <w:rPr>
                <w:rFonts w:hint="eastAsia" w:hAnsi="宋体"/>
                <w:spacing w:val="1"/>
                <w:sz w:val="28"/>
                <w:szCs w:val="28"/>
                <w:highlight w:val="none"/>
                <w:lang w:eastAsia="zh-Hans"/>
              </w:rPr>
              <w:t>人力资源业绩</w:t>
            </w:r>
            <w:r>
              <w:rPr>
                <w:rFonts w:hAnsi="宋体"/>
                <w:spacing w:val="1"/>
                <w:sz w:val="28"/>
                <w:szCs w:val="28"/>
                <w:highlight w:val="none"/>
              </w:rPr>
              <w:t>得1分。没有</w:t>
            </w:r>
            <w:r>
              <w:rPr>
                <w:rFonts w:hint="eastAsia" w:hAnsi="宋体"/>
                <w:spacing w:val="1"/>
                <w:sz w:val="28"/>
                <w:szCs w:val="28"/>
                <w:highlight w:val="none"/>
                <w:lang w:val="en-US" w:eastAsia="zh-CN"/>
              </w:rPr>
              <w:t>贸易类企业</w:t>
            </w:r>
            <w:r>
              <w:rPr>
                <w:rFonts w:hint="eastAsia" w:hAnsi="宋体"/>
                <w:spacing w:val="1"/>
                <w:sz w:val="28"/>
                <w:szCs w:val="28"/>
                <w:highlight w:val="none"/>
                <w:lang w:eastAsia="zh-Hans"/>
              </w:rPr>
              <w:t>人力资源业绩</w:t>
            </w:r>
            <w:r>
              <w:rPr>
                <w:rFonts w:hAnsi="宋体"/>
                <w:spacing w:val="1"/>
                <w:sz w:val="28"/>
                <w:szCs w:val="28"/>
                <w:highlight w:val="none"/>
              </w:rPr>
              <w:t>不得分</w:t>
            </w:r>
            <w:r>
              <w:rPr>
                <w:rFonts w:hAnsi="宋体"/>
                <w:spacing w:val="1"/>
                <w:sz w:val="28"/>
                <w:szCs w:val="28"/>
                <w:highlight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企业业绩</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13</w:t>
            </w:r>
          </w:p>
        </w:tc>
        <w:tc>
          <w:tcPr>
            <w:tcW w:w="5035" w:type="dxa"/>
            <w:vAlign w:val="center"/>
          </w:tcPr>
          <w:p>
            <w:pPr>
              <w:pStyle w:val="7"/>
              <w:spacing w:line="400" w:lineRule="exact"/>
              <w:rPr>
                <w:rFonts w:ascii="宋体" w:hAnsi="宋体"/>
                <w:sz w:val="28"/>
                <w:szCs w:val="28"/>
                <w:highlight w:val="none"/>
              </w:rPr>
            </w:pPr>
            <w:r>
              <w:rPr>
                <w:rFonts w:ascii="宋体" w:hAnsi="宋体"/>
                <w:spacing w:val="1"/>
                <w:kern w:val="0"/>
                <w:sz w:val="28"/>
                <w:szCs w:val="28"/>
                <w:highlight w:val="none"/>
              </w:rPr>
              <w:t>满足</w:t>
            </w:r>
            <w:r>
              <w:rPr>
                <w:rFonts w:hint="eastAsia" w:ascii="宋体" w:hAnsi="宋体"/>
                <w:spacing w:val="1"/>
                <w:kern w:val="0"/>
                <w:sz w:val="28"/>
                <w:szCs w:val="28"/>
                <w:highlight w:val="none"/>
              </w:rPr>
              <w:t>比选</w:t>
            </w:r>
            <w:r>
              <w:rPr>
                <w:rFonts w:ascii="宋体" w:hAnsi="宋体"/>
                <w:spacing w:val="1"/>
                <w:kern w:val="0"/>
                <w:sz w:val="28"/>
                <w:szCs w:val="28"/>
                <w:highlight w:val="none"/>
              </w:rPr>
              <w:t>文件</w:t>
            </w:r>
            <w:r>
              <w:rPr>
                <w:rFonts w:hint="eastAsia" w:ascii="宋体" w:hAnsi="宋体"/>
                <w:spacing w:val="1"/>
                <w:kern w:val="0"/>
                <w:sz w:val="28"/>
                <w:szCs w:val="28"/>
                <w:highlight w:val="none"/>
                <w:lang w:val="en-US" w:eastAsia="zh-CN"/>
              </w:rPr>
              <w:t>基本</w:t>
            </w:r>
            <w:r>
              <w:rPr>
                <w:rFonts w:ascii="宋体" w:hAnsi="宋体"/>
                <w:spacing w:val="1"/>
                <w:kern w:val="0"/>
                <w:sz w:val="28"/>
                <w:szCs w:val="28"/>
                <w:highlight w:val="none"/>
              </w:rPr>
              <w:t>要求得3分，每增加一个</w:t>
            </w:r>
            <w:r>
              <w:rPr>
                <w:rFonts w:hint="eastAsia" w:ascii="宋体" w:hAnsi="宋体"/>
                <w:spacing w:val="1"/>
                <w:kern w:val="0"/>
                <w:sz w:val="28"/>
                <w:szCs w:val="28"/>
                <w:highlight w:val="none"/>
                <w:lang w:val="en-US" w:eastAsia="zh-CN"/>
              </w:rPr>
              <w:t>市场化贸易类</w:t>
            </w:r>
            <w:r>
              <w:rPr>
                <w:rFonts w:ascii="宋体" w:hAnsi="宋体"/>
                <w:spacing w:val="1"/>
                <w:kern w:val="0"/>
                <w:sz w:val="28"/>
                <w:szCs w:val="28"/>
                <w:highlight w:val="none"/>
                <w:lang w:eastAsia="zh-Hans"/>
              </w:rPr>
              <w:t>国企</w:t>
            </w:r>
            <w:r>
              <w:rPr>
                <w:rFonts w:ascii="宋体" w:hAnsi="宋体"/>
                <w:spacing w:val="1"/>
                <w:kern w:val="0"/>
                <w:sz w:val="28"/>
                <w:szCs w:val="28"/>
                <w:highlight w:val="none"/>
              </w:rPr>
              <w:t xml:space="preserve">人力资源咨询项目加2分，此项最高得13分。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restart"/>
            <w:vAlign w:val="center"/>
          </w:tcPr>
          <w:p>
            <w:pPr>
              <w:spacing w:line="400" w:lineRule="exact"/>
              <w:jc w:val="center"/>
              <w:rPr>
                <w:rFonts w:hAnsi="宋体"/>
                <w:sz w:val="28"/>
                <w:szCs w:val="28"/>
                <w:highlight w:val="none"/>
              </w:rPr>
            </w:pPr>
            <w:r>
              <w:rPr>
                <w:rFonts w:hAnsi="宋体"/>
                <w:sz w:val="28"/>
                <w:szCs w:val="28"/>
                <w:highlight w:val="none"/>
              </w:rPr>
              <w:t>2.2.3（2）</w:t>
            </w:r>
          </w:p>
        </w:tc>
        <w:tc>
          <w:tcPr>
            <w:tcW w:w="1005" w:type="dxa"/>
            <w:vMerge w:val="restart"/>
            <w:vAlign w:val="center"/>
          </w:tcPr>
          <w:p>
            <w:pPr>
              <w:spacing w:line="400" w:lineRule="exact"/>
              <w:jc w:val="center"/>
              <w:rPr>
                <w:rFonts w:hAnsi="宋体"/>
                <w:sz w:val="28"/>
                <w:szCs w:val="28"/>
                <w:highlight w:val="none"/>
              </w:rPr>
            </w:pPr>
            <w:r>
              <w:rPr>
                <w:rFonts w:hAnsi="宋体"/>
                <w:sz w:val="28"/>
                <w:szCs w:val="28"/>
                <w:highlight w:val="none"/>
              </w:rPr>
              <w:t>技术评审</w:t>
            </w:r>
          </w:p>
          <w:p>
            <w:pPr>
              <w:spacing w:line="400" w:lineRule="exact"/>
              <w:jc w:val="center"/>
              <w:rPr>
                <w:rFonts w:hAnsi="宋体"/>
                <w:sz w:val="28"/>
                <w:szCs w:val="28"/>
                <w:highlight w:val="none"/>
              </w:rPr>
            </w:pPr>
            <w:r>
              <w:rPr>
                <w:rFonts w:hAnsi="宋体"/>
                <w:sz w:val="28"/>
                <w:szCs w:val="28"/>
                <w:highlight w:val="none"/>
              </w:rPr>
              <w:t>评分标准（40分）</w:t>
            </w:r>
          </w:p>
        </w:tc>
        <w:tc>
          <w:tcPr>
            <w:tcW w:w="508" w:type="dxa"/>
            <w:vAlign w:val="center"/>
          </w:tcPr>
          <w:p>
            <w:pPr>
              <w:spacing w:line="400" w:lineRule="exact"/>
              <w:jc w:val="center"/>
              <w:rPr>
                <w:rFonts w:hAnsi="宋体"/>
                <w:sz w:val="28"/>
                <w:szCs w:val="28"/>
                <w:highlight w:val="none"/>
              </w:rPr>
            </w:pPr>
            <w:r>
              <w:rPr>
                <w:rFonts w:hint="eastAsia" w:hAnsi="宋体"/>
                <w:sz w:val="28"/>
                <w:szCs w:val="28"/>
                <w:highlight w:val="none"/>
              </w:rPr>
              <w:t>掌握省国资委人力资源改革要求</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8</w:t>
            </w:r>
          </w:p>
        </w:tc>
        <w:tc>
          <w:tcPr>
            <w:tcW w:w="5035" w:type="dxa"/>
            <w:vAlign w:val="center"/>
          </w:tcPr>
          <w:p>
            <w:pPr>
              <w:pStyle w:val="7"/>
              <w:spacing w:line="400" w:lineRule="exact"/>
              <w:rPr>
                <w:rFonts w:ascii="宋体" w:hAnsi="宋体"/>
                <w:sz w:val="28"/>
                <w:szCs w:val="28"/>
                <w:highlight w:val="none"/>
              </w:rPr>
            </w:pPr>
            <w:r>
              <w:rPr>
                <w:rFonts w:ascii="宋体" w:hAnsi="宋体"/>
                <w:spacing w:val="1"/>
                <w:kern w:val="0"/>
                <w:sz w:val="28"/>
                <w:szCs w:val="28"/>
                <w:highlight w:val="none"/>
              </w:rPr>
              <w:t>深入了解</w:t>
            </w:r>
            <w:r>
              <w:rPr>
                <w:rFonts w:hint="eastAsia" w:ascii="宋体" w:hAnsi="宋体"/>
                <w:spacing w:val="1"/>
                <w:kern w:val="0"/>
                <w:sz w:val="28"/>
                <w:szCs w:val="28"/>
                <w:highlight w:val="none"/>
              </w:rPr>
              <w:t>省国资委人力资源改革要求</w:t>
            </w:r>
            <w:r>
              <w:rPr>
                <w:rFonts w:ascii="宋体" w:hAnsi="宋体"/>
                <w:spacing w:val="1"/>
                <w:kern w:val="0"/>
                <w:sz w:val="28"/>
                <w:szCs w:val="28"/>
                <w:highlight w:val="none"/>
              </w:rPr>
              <w:t>要求，准确把握改革的要求及执行，得6-8分；较准确把握改革的要求及执行,得3-5分；基本或很少了解改革的要求及执行,得0-2分。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Merge w:val="restart"/>
            <w:vAlign w:val="center"/>
          </w:tcPr>
          <w:p>
            <w:pPr>
              <w:spacing w:line="400" w:lineRule="exact"/>
              <w:jc w:val="center"/>
              <w:rPr>
                <w:rFonts w:hAnsi="宋体"/>
                <w:sz w:val="28"/>
                <w:szCs w:val="28"/>
                <w:highlight w:val="none"/>
              </w:rPr>
            </w:pPr>
            <w:r>
              <w:rPr>
                <w:rFonts w:hAnsi="宋体"/>
                <w:sz w:val="28"/>
                <w:szCs w:val="28"/>
                <w:highlight w:val="none"/>
              </w:rPr>
              <w:t>项目实施方案</w:t>
            </w:r>
          </w:p>
        </w:tc>
        <w:tc>
          <w:tcPr>
            <w:tcW w:w="1642" w:type="dxa"/>
            <w:vAlign w:val="center"/>
          </w:tcPr>
          <w:p>
            <w:pPr>
              <w:spacing w:line="400" w:lineRule="exact"/>
              <w:jc w:val="center"/>
              <w:rPr>
                <w:rFonts w:hAnsi="宋体"/>
                <w:sz w:val="28"/>
                <w:szCs w:val="28"/>
                <w:highlight w:val="none"/>
              </w:rPr>
            </w:pPr>
            <w:r>
              <w:rPr>
                <w:rFonts w:hAnsi="宋体"/>
                <w:sz w:val="28"/>
                <w:szCs w:val="28"/>
                <w:highlight w:val="none"/>
              </w:rPr>
              <w:t>项目的整体思路和框架</w:t>
            </w:r>
          </w:p>
        </w:tc>
        <w:tc>
          <w:tcPr>
            <w:tcW w:w="422" w:type="dxa"/>
            <w:vAlign w:val="center"/>
          </w:tcPr>
          <w:p>
            <w:pPr>
              <w:spacing w:line="400" w:lineRule="exact"/>
              <w:jc w:val="center"/>
              <w:rPr>
                <w:rFonts w:hAnsi="宋体"/>
                <w:sz w:val="28"/>
                <w:szCs w:val="28"/>
                <w:highlight w:val="none"/>
              </w:rPr>
            </w:pPr>
            <w:r>
              <w:rPr>
                <w:rFonts w:hAnsi="宋体"/>
                <w:sz w:val="28"/>
                <w:szCs w:val="28"/>
                <w:highlight w:val="none"/>
              </w:rPr>
              <w:t>8</w:t>
            </w:r>
          </w:p>
        </w:tc>
        <w:tc>
          <w:tcPr>
            <w:tcW w:w="5271" w:type="dxa"/>
            <w:gridSpan w:val="2"/>
            <w:vAlign w:val="center"/>
          </w:tcPr>
          <w:p>
            <w:pPr>
              <w:spacing w:line="400" w:lineRule="exact"/>
              <w:rPr>
                <w:rFonts w:hAnsi="宋体"/>
                <w:sz w:val="28"/>
                <w:szCs w:val="28"/>
                <w:highlight w:val="none"/>
              </w:rPr>
            </w:pPr>
            <w:r>
              <w:rPr>
                <w:rFonts w:hAnsi="宋体"/>
                <w:sz w:val="28"/>
                <w:szCs w:val="28"/>
                <w:highlight w:val="none"/>
              </w:rPr>
              <w:t>整体思路清晰、切合需求，方案设想合理得</w:t>
            </w:r>
            <w:r>
              <w:rPr>
                <w:rFonts w:hAnsi="宋体"/>
                <w:spacing w:val="1"/>
                <w:sz w:val="28"/>
                <w:szCs w:val="28"/>
                <w:highlight w:val="none"/>
              </w:rPr>
              <w:t>6-8</w:t>
            </w:r>
            <w:r>
              <w:rPr>
                <w:rFonts w:hAnsi="宋体"/>
                <w:sz w:val="28"/>
                <w:szCs w:val="28"/>
                <w:highlight w:val="none"/>
              </w:rPr>
              <w:t>分；整体思路较清晰、基本切合需求，方案设想较合理，可行性一般，得</w:t>
            </w:r>
            <w:r>
              <w:rPr>
                <w:rFonts w:hAnsi="宋体"/>
                <w:spacing w:val="1"/>
                <w:sz w:val="28"/>
                <w:szCs w:val="28"/>
                <w:highlight w:val="none"/>
              </w:rPr>
              <w:t>3-5</w:t>
            </w:r>
            <w:r>
              <w:rPr>
                <w:rFonts w:hAnsi="宋体"/>
                <w:sz w:val="28"/>
                <w:szCs w:val="28"/>
                <w:highlight w:val="none"/>
              </w:rPr>
              <w:t>分；整体思路模糊、不切合需求，研究方案设想不合理，可行性差，得</w:t>
            </w:r>
            <w:r>
              <w:rPr>
                <w:rFonts w:hAnsi="宋体"/>
                <w:spacing w:val="1"/>
                <w:sz w:val="28"/>
                <w:szCs w:val="28"/>
                <w:highlight w:val="none"/>
              </w:rPr>
              <w:t>0-2</w:t>
            </w:r>
            <w:r>
              <w:rPr>
                <w:rFonts w:hAnsi="宋体"/>
                <w:sz w:val="28"/>
                <w:szCs w:val="28"/>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p>
        </w:tc>
        <w:tc>
          <w:tcPr>
            <w:tcW w:w="1642" w:type="dxa"/>
            <w:vAlign w:val="center"/>
          </w:tcPr>
          <w:p>
            <w:pPr>
              <w:spacing w:line="400" w:lineRule="exact"/>
              <w:jc w:val="center"/>
              <w:rPr>
                <w:rFonts w:hAnsi="宋体"/>
                <w:sz w:val="28"/>
                <w:szCs w:val="28"/>
                <w:highlight w:val="none"/>
              </w:rPr>
            </w:pPr>
            <w:r>
              <w:rPr>
                <w:rFonts w:hAnsi="宋体"/>
                <w:sz w:val="28"/>
                <w:szCs w:val="28"/>
                <w:highlight w:val="none"/>
              </w:rPr>
              <w:t>方案的全面性、科学性、创新性</w:t>
            </w:r>
          </w:p>
        </w:tc>
        <w:tc>
          <w:tcPr>
            <w:tcW w:w="422" w:type="dxa"/>
            <w:vAlign w:val="center"/>
          </w:tcPr>
          <w:p>
            <w:pPr>
              <w:spacing w:line="400" w:lineRule="exact"/>
              <w:jc w:val="center"/>
              <w:rPr>
                <w:rFonts w:hAnsi="宋体"/>
                <w:sz w:val="28"/>
                <w:szCs w:val="28"/>
                <w:highlight w:val="none"/>
              </w:rPr>
            </w:pPr>
            <w:r>
              <w:rPr>
                <w:rFonts w:hAnsi="宋体"/>
                <w:sz w:val="28"/>
                <w:szCs w:val="28"/>
                <w:highlight w:val="none"/>
              </w:rPr>
              <w:t>7</w:t>
            </w:r>
          </w:p>
        </w:tc>
        <w:tc>
          <w:tcPr>
            <w:tcW w:w="5271" w:type="dxa"/>
            <w:gridSpan w:val="2"/>
            <w:vAlign w:val="center"/>
          </w:tcPr>
          <w:p>
            <w:pPr>
              <w:spacing w:line="400" w:lineRule="exact"/>
              <w:rPr>
                <w:rFonts w:hAnsi="宋体"/>
                <w:sz w:val="28"/>
                <w:szCs w:val="28"/>
                <w:highlight w:val="none"/>
              </w:rPr>
            </w:pPr>
            <w:r>
              <w:rPr>
                <w:rFonts w:hAnsi="宋体"/>
                <w:sz w:val="28"/>
                <w:szCs w:val="28"/>
                <w:highlight w:val="none"/>
              </w:rPr>
              <w:t>方案科学合理、创新性强、测算项目全面得6-7分；方案较为合理、创新性较强、测算项目较全面得4-5分；方案基本合理、创新性一般、测算项目有部分遗漏得2-3分；方案不合理、创新性较差、测算项目遗漏较多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p>
        </w:tc>
        <w:tc>
          <w:tcPr>
            <w:tcW w:w="1642" w:type="dxa"/>
            <w:vAlign w:val="center"/>
          </w:tcPr>
          <w:p>
            <w:pPr>
              <w:spacing w:line="400" w:lineRule="exact"/>
              <w:jc w:val="center"/>
              <w:rPr>
                <w:rFonts w:hAnsi="宋体"/>
                <w:sz w:val="28"/>
                <w:szCs w:val="28"/>
                <w:highlight w:val="none"/>
              </w:rPr>
            </w:pPr>
            <w:r>
              <w:rPr>
                <w:rFonts w:hAnsi="宋体"/>
                <w:sz w:val="28"/>
                <w:szCs w:val="28"/>
                <w:highlight w:val="none"/>
              </w:rPr>
              <w:t>方案的可行性</w:t>
            </w:r>
          </w:p>
        </w:tc>
        <w:tc>
          <w:tcPr>
            <w:tcW w:w="422" w:type="dxa"/>
            <w:vAlign w:val="center"/>
          </w:tcPr>
          <w:p>
            <w:pPr>
              <w:spacing w:line="400" w:lineRule="exact"/>
              <w:jc w:val="center"/>
              <w:rPr>
                <w:rFonts w:hAnsi="宋体"/>
                <w:sz w:val="28"/>
                <w:szCs w:val="28"/>
                <w:highlight w:val="none"/>
              </w:rPr>
            </w:pPr>
            <w:r>
              <w:rPr>
                <w:rFonts w:hAnsi="宋体"/>
                <w:sz w:val="28"/>
                <w:szCs w:val="28"/>
                <w:highlight w:val="none"/>
              </w:rPr>
              <w:t>7</w:t>
            </w:r>
          </w:p>
        </w:tc>
        <w:tc>
          <w:tcPr>
            <w:tcW w:w="5271" w:type="dxa"/>
            <w:gridSpan w:val="2"/>
            <w:vAlign w:val="center"/>
          </w:tcPr>
          <w:p>
            <w:pPr>
              <w:spacing w:line="400" w:lineRule="exact"/>
              <w:rPr>
                <w:rFonts w:hAnsi="宋体"/>
                <w:sz w:val="28"/>
                <w:szCs w:val="28"/>
                <w:highlight w:val="none"/>
              </w:rPr>
            </w:pPr>
            <w:r>
              <w:rPr>
                <w:rFonts w:hAnsi="宋体"/>
                <w:sz w:val="28"/>
                <w:szCs w:val="28"/>
                <w:highlight w:val="none"/>
              </w:rPr>
              <w:t>方案可操作性强、落地实施容易得6-7分；方案可操作性较强，落地实施较容易得4-5分；方案可操作性一般、落地实施一般得2-3分；方案可操作性差、落地实施困难得0-1分。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p>
        </w:tc>
        <w:tc>
          <w:tcPr>
            <w:tcW w:w="1642" w:type="dxa"/>
            <w:vAlign w:val="center"/>
          </w:tcPr>
          <w:p>
            <w:pPr>
              <w:spacing w:line="400" w:lineRule="exact"/>
              <w:jc w:val="center"/>
              <w:rPr>
                <w:rFonts w:hAnsi="宋体"/>
                <w:sz w:val="28"/>
                <w:szCs w:val="28"/>
                <w:highlight w:val="none"/>
              </w:rPr>
            </w:pPr>
            <w:r>
              <w:rPr>
                <w:rFonts w:hAnsi="宋体"/>
                <w:sz w:val="28"/>
                <w:szCs w:val="28"/>
                <w:highlight w:val="none"/>
              </w:rPr>
              <w:t>项目组织安排的合理性、可控性</w:t>
            </w:r>
          </w:p>
        </w:tc>
        <w:tc>
          <w:tcPr>
            <w:tcW w:w="422" w:type="dxa"/>
            <w:vAlign w:val="center"/>
          </w:tcPr>
          <w:p>
            <w:pPr>
              <w:spacing w:line="400" w:lineRule="exact"/>
              <w:jc w:val="center"/>
              <w:rPr>
                <w:rFonts w:hAnsi="宋体"/>
                <w:sz w:val="28"/>
                <w:szCs w:val="28"/>
                <w:highlight w:val="none"/>
              </w:rPr>
            </w:pPr>
            <w:r>
              <w:rPr>
                <w:rFonts w:hAnsi="宋体"/>
                <w:sz w:val="28"/>
                <w:szCs w:val="28"/>
                <w:highlight w:val="none"/>
              </w:rPr>
              <w:t>5</w:t>
            </w:r>
          </w:p>
        </w:tc>
        <w:tc>
          <w:tcPr>
            <w:tcW w:w="5271" w:type="dxa"/>
            <w:gridSpan w:val="2"/>
            <w:vAlign w:val="center"/>
          </w:tcPr>
          <w:p>
            <w:pPr>
              <w:spacing w:line="400" w:lineRule="exact"/>
              <w:rPr>
                <w:rFonts w:hAnsi="宋体"/>
                <w:sz w:val="28"/>
                <w:szCs w:val="28"/>
                <w:highlight w:val="none"/>
              </w:rPr>
            </w:pPr>
            <w:r>
              <w:rPr>
                <w:rFonts w:hAnsi="宋体"/>
                <w:sz w:val="28"/>
                <w:szCs w:val="28"/>
                <w:highlight w:val="none"/>
              </w:rPr>
              <w:t>项目组织安排合理、可控性强得5分；项目组织安排较合理、可控性较强得4分；项目组织安排一般、可控性一般得2-3分；项目组织安排不合理、可控性差得0-1分。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日常服务配合</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3</w:t>
            </w:r>
          </w:p>
        </w:tc>
        <w:tc>
          <w:tcPr>
            <w:tcW w:w="5035" w:type="dxa"/>
            <w:vAlign w:val="center"/>
          </w:tcPr>
          <w:p>
            <w:pPr>
              <w:spacing w:line="400" w:lineRule="exact"/>
              <w:rPr>
                <w:rFonts w:hAnsi="宋体"/>
                <w:sz w:val="28"/>
                <w:szCs w:val="28"/>
                <w:highlight w:val="none"/>
              </w:rPr>
            </w:pPr>
            <w:r>
              <w:rPr>
                <w:rFonts w:hAnsi="宋体"/>
                <w:sz w:val="28"/>
                <w:szCs w:val="28"/>
                <w:highlight w:val="none"/>
              </w:rPr>
              <w:t>日常服务配合：承诺提供项目本身的日常服务并满足与项目相关的临时性、突发性需求服务，保证12小时内及时响应，得3分；</w:t>
            </w:r>
          </w:p>
          <w:p>
            <w:pPr>
              <w:spacing w:line="400" w:lineRule="exact"/>
              <w:rPr>
                <w:rFonts w:hAnsi="宋体"/>
                <w:sz w:val="28"/>
                <w:szCs w:val="28"/>
                <w:highlight w:val="none"/>
              </w:rPr>
            </w:pPr>
            <w:r>
              <w:rPr>
                <w:rFonts w:hAnsi="宋体"/>
                <w:sz w:val="28"/>
                <w:szCs w:val="28"/>
                <w:highlight w:val="none"/>
              </w:rPr>
              <w:t>承诺提供项目本身的日常服务并满足部分与项目相关的临时性、突发性需求服务，保证24小时内及时响应，得1分；</w:t>
            </w:r>
          </w:p>
          <w:p>
            <w:pPr>
              <w:spacing w:line="400" w:lineRule="exact"/>
              <w:rPr>
                <w:rFonts w:hAnsi="宋体"/>
                <w:sz w:val="28"/>
                <w:szCs w:val="28"/>
                <w:highlight w:val="none"/>
              </w:rPr>
            </w:pPr>
            <w:r>
              <w:rPr>
                <w:rFonts w:hAnsi="宋体"/>
                <w:sz w:val="28"/>
                <w:szCs w:val="28"/>
                <w:highlight w:val="none"/>
              </w:rPr>
              <w:t>承诺提供项目本身的日常服务，对与项目相关的临时性、突发性需求服务不能承诺响应时间，得0分。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Merge w:val="continue"/>
            <w:vAlign w:val="center"/>
          </w:tcPr>
          <w:p>
            <w:pPr>
              <w:spacing w:line="400" w:lineRule="exact"/>
              <w:jc w:val="center"/>
              <w:rPr>
                <w:rFonts w:hAnsi="宋体"/>
                <w:sz w:val="28"/>
                <w:szCs w:val="28"/>
                <w:highlight w:val="none"/>
              </w:rPr>
            </w:pPr>
          </w:p>
        </w:tc>
        <w:tc>
          <w:tcPr>
            <w:tcW w:w="1005" w:type="dxa"/>
            <w:vMerge w:val="continue"/>
            <w:vAlign w:val="center"/>
          </w:tcPr>
          <w:p>
            <w:pPr>
              <w:spacing w:line="400" w:lineRule="exact"/>
              <w:jc w:val="center"/>
              <w:rPr>
                <w:rFonts w:hAnsi="宋体"/>
                <w:sz w:val="28"/>
                <w:szCs w:val="28"/>
                <w:highlight w:val="none"/>
              </w:rPr>
            </w:pP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后续服务配合</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2</w:t>
            </w:r>
          </w:p>
        </w:tc>
        <w:tc>
          <w:tcPr>
            <w:tcW w:w="5035" w:type="dxa"/>
            <w:vAlign w:val="center"/>
          </w:tcPr>
          <w:p>
            <w:pPr>
              <w:spacing w:line="400" w:lineRule="exact"/>
              <w:rPr>
                <w:rFonts w:hAnsi="宋体"/>
                <w:sz w:val="28"/>
                <w:szCs w:val="28"/>
                <w:highlight w:val="none"/>
              </w:rPr>
            </w:pPr>
            <w:r>
              <w:rPr>
                <w:rFonts w:hAnsi="宋体"/>
                <w:sz w:val="28"/>
                <w:szCs w:val="28"/>
                <w:highlight w:val="none"/>
              </w:rPr>
              <w:t>承诺能对项目后续提供1年及以上运维服务，得2分；</w:t>
            </w:r>
          </w:p>
          <w:p>
            <w:pPr>
              <w:spacing w:line="400" w:lineRule="exact"/>
              <w:rPr>
                <w:rFonts w:hAnsi="宋体"/>
                <w:sz w:val="28"/>
                <w:szCs w:val="28"/>
                <w:highlight w:val="none"/>
              </w:rPr>
            </w:pPr>
            <w:r>
              <w:rPr>
                <w:rFonts w:hAnsi="宋体"/>
                <w:sz w:val="28"/>
                <w:szCs w:val="28"/>
                <w:highlight w:val="none"/>
              </w:rPr>
              <w:t>承诺能对项目后续提供6个月以上的运维服务，得1分；</w:t>
            </w:r>
          </w:p>
          <w:p>
            <w:pPr>
              <w:spacing w:line="400" w:lineRule="exact"/>
              <w:rPr>
                <w:rFonts w:hAnsi="宋体"/>
                <w:sz w:val="28"/>
                <w:szCs w:val="28"/>
                <w:highlight w:val="none"/>
              </w:rPr>
            </w:pPr>
            <w:r>
              <w:rPr>
                <w:rFonts w:hAnsi="宋体"/>
                <w:sz w:val="28"/>
                <w:szCs w:val="28"/>
                <w:highlight w:val="none"/>
              </w:rPr>
              <w:t>不能承诺对项目后续提供免费支撑服务，得0分。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6" w:type="dxa"/>
          <w:trHeight w:val="567" w:hRule="atLeast"/>
        </w:trPr>
        <w:tc>
          <w:tcPr>
            <w:tcW w:w="1271" w:type="dxa"/>
            <w:gridSpan w:val="2"/>
            <w:vAlign w:val="center"/>
          </w:tcPr>
          <w:p>
            <w:pPr>
              <w:spacing w:line="400" w:lineRule="exact"/>
              <w:jc w:val="center"/>
              <w:rPr>
                <w:rFonts w:hAnsi="宋体"/>
                <w:sz w:val="28"/>
                <w:szCs w:val="28"/>
                <w:highlight w:val="none"/>
              </w:rPr>
            </w:pPr>
            <w:r>
              <w:rPr>
                <w:rFonts w:hAnsi="宋体"/>
                <w:sz w:val="28"/>
                <w:szCs w:val="28"/>
                <w:highlight w:val="none"/>
              </w:rPr>
              <w:t>2.2.3（3）</w:t>
            </w:r>
          </w:p>
        </w:tc>
        <w:tc>
          <w:tcPr>
            <w:tcW w:w="1005" w:type="dxa"/>
            <w:vAlign w:val="center"/>
          </w:tcPr>
          <w:p>
            <w:pPr>
              <w:spacing w:line="400" w:lineRule="exact"/>
              <w:jc w:val="center"/>
              <w:rPr>
                <w:rFonts w:hAnsi="宋体"/>
                <w:sz w:val="28"/>
                <w:szCs w:val="28"/>
                <w:highlight w:val="none"/>
              </w:rPr>
            </w:pPr>
            <w:r>
              <w:rPr>
                <w:rFonts w:hAnsi="宋体"/>
                <w:sz w:val="28"/>
                <w:szCs w:val="28"/>
                <w:highlight w:val="none"/>
              </w:rPr>
              <w:t>商务评审</w:t>
            </w:r>
          </w:p>
          <w:p>
            <w:pPr>
              <w:tabs>
                <w:tab w:val="left" w:pos="749"/>
              </w:tabs>
              <w:spacing w:line="400" w:lineRule="exact"/>
              <w:ind w:hanging="22"/>
              <w:jc w:val="center"/>
              <w:rPr>
                <w:rFonts w:hAnsi="宋体"/>
                <w:b/>
                <w:bCs/>
                <w:sz w:val="28"/>
                <w:szCs w:val="28"/>
                <w:highlight w:val="none"/>
              </w:rPr>
            </w:pPr>
            <w:r>
              <w:rPr>
                <w:rFonts w:hAnsi="宋体"/>
                <w:sz w:val="28"/>
                <w:szCs w:val="28"/>
                <w:highlight w:val="none"/>
              </w:rPr>
              <w:t>评分标准（30分）</w:t>
            </w:r>
          </w:p>
        </w:tc>
        <w:tc>
          <w:tcPr>
            <w:tcW w:w="508" w:type="dxa"/>
            <w:vAlign w:val="center"/>
          </w:tcPr>
          <w:p>
            <w:pPr>
              <w:spacing w:line="400" w:lineRule="exact"/>
              <w:jc w:val="center"/>
              <w:rPr>
                <w:rFonts w:hAnsi="宋体"/>
                <w:sz w:val="28"/>
                <w:szCs w:val="28"/>
                <w:highlight w:val="none"/>
              </w:rPr>
            </w:pPr>
            <w:r>
              <w:rPr>
                <w:rFonts w:hAnsi="宋体"/>
                <w:sz w:val="28"/>
                <w:szCs w:val="28"/>
                <w:highlight w:val="none"/>
              </w:rPr>
              <w:t>报价</w:t>
            </w:r>
          </w:p>
        </w:tc>
        <w:tc>
          <w:tcPr>
            <w:tcW w:w="2064" w:type="dxa"/>
            <w:gridSpan w:val="2"/>
            <w:vAlign w:val="center"/>
          </w:tcPr>
          <w:p>
            <w:pPr>
              <w:spacing w:line="400" w:lineRule="exact"/>
              <w:jc w:val="center"/>
              <w:rPr>
                <w:rFonts w:hAnsi="宋体"/>
                <w:sz w:val="28"/>
                <w:szCs w:val="28"/>
                <w:highlight w:val="none"/>
              </w:rPr>
            </w:pPr>
            <w:r>
              <w:rPr>
                <w:rFonts w:hAnsi="宋体"/>
                <w:sz w:val="28"/>
                <w:szCs w:val="28"/>
                <w:highlight w:val="none"/>
              </w:rPr>
              <w:t>30</w:t>
            </w:r>
          </w:p>
        </w:tc>
        <w:tc>
          <w:tcPr>
            <w:tcW w:w="5035" w:type="dxa"/>
            <w:vAlign w:val="center"/>
          </w:tcPr>
          <w:p>
            <w:pPr>
              <w:spacing w:line="400" w:lineRule="exact"/>
              <w:rPr>
                <w:rFonts w:hAnsi="宋体"/>
                <w:sz w:val="28"/>
                <w:szCs w:val="28"/>
                <w:highlight w:val="none"/>
              </w:rPr>
            </w:pPr>
            <w:r>
              <w:rPr>
                <w:rFonts w:hAnsi="宋体"/>
                <w:sz w:val="28"/>
                <w:szCs w:val="28"/>
                <w:highlight w:val="none"/>
              </w:rPr>
              <w:t>分值30分</w:t>
            </w:r>
          </w:p>
          <w:p>
            <w:pPr>
              <w:spacing w:line="400" w:lineRule="exact"/>
              <w:rPr>
                <w:rFonts w:hAnsi="宋体"/>
                <w:sz w:val="28"/>
                <w:szCs w:val="28"/>
                <w:highlight w:val="none"/>
              </w:rPr>
            </w:pPr>
            <w:r>
              <w:rPr>
                <w:rFonts w:hint="eastAsia" w:hAnsi="宋体"/>
                <w:sz w:val="28"/>
                <w:szCs w:val="28"/>
                <w:highlight w:val="none"/>
              </w:rPr>
              <w:t>价格分采用低价优先法计算，即满足招标文件要求且投标价格最低的投标报价为评标基准价，其价格分为满分。其他投标人的价格分统一按照下列公式计算：</w:t>
            </w:r>
          </w:p>
          <w:p>
            <w:pPr>
              <w:spacing w:line="400" w:lineRule="exact"/>
              <w:rPr>
                <w:rFonts w:hint="eastAsia" w:hAnsi="宋体" w:eastAsia="宋体"/>
                <w:sz w:val="28"/>
                <w:szCs w:val="28"/>
                <w:highlight w:val="none"/>
                <w:lang w:val="en-US" w:eastAsia="zh-CN"/>
              </w:rPr>
            </w:pPr>
            <w:r>
              <w:rPr>
                <w:rFonts w:hint="eastAsia" w:hAnsi="宋体"/>
                <w:sz w:val="28"/>
                <w:szCs w:val="28"/>
                <w:highlight w:val="none"/>
              </w:rPr>
              <w:t>投标报价得分=</w:t>
            </w:r>
            <w:r>
              <w:rPr>
                <w:rFonts w:hAnsi="宋体"/>
                <w:sz w:val="28"/>
                <w:szCs w:val="28"/>
                <w:highlight w:val="none"/>
              </w:rPr>
              <w:t>30*</w:t>
            </w:r>
            <w:r>
              <w:rPr>
                <w:rFonts w:hint="eastAsia" w:hAnsi="宋体"/>
                <w:sz w:val="28"/>
                <w:szCs w:val="28"/>
                <w:highlight w:val="none"/>
              </w:rPr>
              <w:t>(评标基准价／投标报价)×100</w:t>
            </w:r>
            <w:r>
              <w:rPr>
                <w:rFonts w:hint="eastAsia"/>
                <w:highlight w:val="none"/>
                <w:lang w:val="en-US" w:eastAsia="zh-CN"/>
              </w:rPr>
              <w:t>%</w:t>
            </w:r>
          </w:p>
        </w:tc>
      </w:tr>
    </w:tbl>
    <w:p>
      <w:pPr>
        <w:pStyle w:val="5"/>
        <w:spacing w:line="520" w:lineRule="exact"/>
        <w:ind w:firstLine="643" w:firstLineChars="200"/>
        <w:rPr>
          <w:rFonts w:ascii="宋体" w:hAnsi="宋体"/>
          <w:szCs w:val="32"/>
          <w:highlight w:val="none"/>
        </w:rPr>
      </w:pPr>
      <w:r>
        <w:rPr>
          <w:rFonts w:ascii="宋体" w:hAnsi="宋体"/>
          <w:szCs w:val="32"/>
          <w:highlight w:val="none"/>
        </w:rPr>
        <w:br w:type="page"/>
      </w:r>
      <w:bookmarkStart w:id="197" w:name="_Toc408317038"/>
      <w:bookmarkStart w:id="198" w:name="_Toc9966"/>
      <w:bookmarkStart w:id="199" w:name="_Toc25396"/>
      <w:bookmarkStart w:id="200" w:name="_Toc409528461"/>
      <w:bookmarkStart w:id="201" w:name="_Toc30690"/>
      <w:bookmarkStart w:id="202" w:name="_Toc10000"/>
      <w:r>
        <w:rPr>
          <w:rFonts w:ascii="宋体" w:hAnsi="宋体"/>
          <w:szCs w:val="32"/>
          <w:highlight w:val="none"/>
        </w:rPr>
        <w:t>1.评审方法</w:t>
      </w:r>
      <w:bookmarkEnd w:id="197"/>
      <w:bookmarkEnd w:id="198"/>
      <w:bookmarkEnd w:id="199"/>
      <w:bookmarkEnd w:id="200"/>
      <w:bookmarkEnd w:id="201"/>
      <w:bookmarkEnd w:id="202"/>
    </w:p>
    <w:p>
      <w:pPr>
        <w:spacing w:line="520" w:lineRule="exact"/>
        <w:ind w:firstLine="640" w:firstLineChars="200"/>
        <w:rPr>
          <w:rFonts w:hAnsi="宋体"/>
          <w:sz w:val="32"/>
          <w:szCs w:val="32"/>
          <w:highlight w:val="none"/>
        </w:rPr>
      </w:pPr>
      <w:r>
        <w:rPr>
          <w:rFonts w:hAnsi="宋体"/>
          <w:sz w:val="32"/>
          <w:szCs w:val="32"/>
          <w:highlight w:val="none"/>
        </w:rPr>
        <w:t>本次评审采用综合评估法。评审委员会对满足比选文件实质性要求的比选申请文件，按照本章第2.2 款规定的评分标准进行打分，并按得分由高到低顺序推荐中选候选人，但评审委员会认为比选申请报价低于其成本的除外。综合评分相等时，以比选申请报价低的优先；比选申请报价也相等的，由比选人自行确定。</w:t>
      </w:r>
    </w:p>
    <w:p>
      <w:pPr>
        <w:pStyle w:val="5"/>
        <w:spacing w:line="520" w:lineRule="exact"/>
        <w:ind w:firstLine="643" w:firstLineChars="200"/>
        <w:rPr>
          <w:rFonts w:ascii="宋体" w:hAnsi="宋体"/>
          <w:szCs w:val="32"/>
          <w:highlight w:val="none"/>
        </w:rPr>
      </w:pPr>
      <w:bookmarkStart w:id="203" w:name="_Toc409528462"/>
      <w:bookmarkStart w:id="204" w:name="_Toc408317039"/>
      <w:bookmarkStart w:id="205" w:name="_Toc333936185"/>
      <w:bookmarkStart w:id="206" w:name="_Toc6098"/>
      <w:bookmarkStart w:id="207" w:name="_Toc16128"/>
      <w:bookmarkStart w:id="208" w:name="_Toc7247"/>
      <w:bookmarkStart w:id="209" w:name="_Toc22113"/>
      <w:r>
        <w:rPr>
          <w:rFonts w:ascii="宋体" w:hAnsi="宋体"/>
          <w:szCs w:val="32"/>
          <w:highlight w:val="none"/>
        </w:rPr>
        <w:t>2.评审标准</w:t>
      </w:r>
      <w:bookmarkEnd w:id="203"/>
      <w:bookmarkEnd w:id="204"/>
      <w:bookmarkEnd w:id="205"/>
      <w:bookmarkEnd w:id="206"/>
      <w:bookmarkEnd w:id="207"/>
      <w:bookmarkEnd w:id="208"/>
      <w:bookmarkEnd w:id="209"/>
    </w:p>
    <w:p>
      <w:pPr>
        <w:pStyle w:val="6"/>
        <w:spacing w:line="520" w:lineRule="exact"/>
        <w:ind w:firstLine="643" w:firstLineChars="200"/>
        <w:rPr>
          <w:rFonts w:ascii="宋体" w:hAnsi="宋体"/>
          <w:sz w:val="32"/>
          <w:szCs w:val="32"/>
          <w:highlight w:val="none"/>
        </w:rPr>
      </w:pPr>
      <w:bookmarkStart w:id="210" w:name="_Toc408317040"/>
      <w:bookmarkStart w:id="211" w:name="_Toc20907"/>
      <w:bookmarkStart w:id="212" w:name="_Toc333936186"/>
      <w:bookmarkStart w:id="213" w:name="_Toc18215"/>
      <w:r>
        <w:rPr>
          <w:rFonts w:ascii="宋体" w:hAnsi="宋体"/>
          <w:sz w:val="32"/>
          <w:szCs w:val="32"/>
          <w:highlight w:val="none"/>
        </w:rPr>
        <w:t>2.1初步评审标准</w:t>
      </w:r>
      <w:bookmarkEnd w:id="210"/>
      <w:bookmarkEnd w:id="211"/>
      <w:bookmarkEnd w:id="212"/>
      <w:bookmarkEnd w:id="213"/>
    </w:p>
    <w:p>
      <w:pPr>
        <w:spacing w:line="520" w:lineRule="exact"/>
        <w:ind w:firstLine="640" w:firstLineChars="200"/>
        <w:rPr>
          <w:rFonts w:hAnsi="宋体"/>
          <w:sz w:val="32"/>
          <w:szCs w:val="32"/>
          <w:highlight w:val="none"/>
        </w:rPr>
      </w:pPr>
      <w:r>
        <w:rPr>
          <w:rFonts w:hAnsi="宋体"/>
          <w:sz w:val="32"/>
          <w:szCs w:val="32"/>
          <w:highlight w:val="none"/>
        </w:rPr>
        <w:t>2.1.1 形式评审标准：见评审办法前附表。</w:t>
      </w:r>
    </w:p>
    <w:p>
      <w:pPr>
        <w:spacing w:line="520" w:lineRule="exact"/>
        <w:ind w:firstLine="640" w:firstLineChars="200"/>
        <w:rPr>
          <w:rFonts w:hAnsi="宋体"/>
          <w:sz w:val="32"/>
          <w:szCs w:val="32"/>
          <w:highlight w:val="none"/>
        </w:rPr>
      </w:pPr>
      <w:r>
        <w:rPr>
          <w:rFonts w:hAnsi="宋体"/>
          <w:sz w:val="32"/>
          <w:szCs w:val="32"/>
          <w:highlight w:val="none"/>
        </w:rPr>
        <w:t>2.1.2 资格评审标准：见评审办法前附表。</w:t>
      </w:r>
    </w:p>
    <w:p>
      <w:pPr>
        <w:spacing w:line="520" w:lineRule="exact"/>
        <w:ind w:firstLine="640" w:firstLineChars="200"/>
        <w:rPr>
          <w:rFonts w:hAnsi="宋体"/>
          <w:sz w:val="32"/>
          <w:szCs w:val="32"/>
          <w:highlight w:val="none"/>
        </w:rPr>
      </w:pPr>
      <w:r>
        <w:rPr>
          <w:rFonts w:hAnsi="宋体"/>
          <w:sz w:val="32"/>
          <w:szCs w:val="32"/>
          <w:highlight w:val="none"/>
        </w:rPr>
        <w:t>2.1.3 响应性评审标准：见评审办法前附表。</w:t>
      </w:r>
    </w:p>
    <w:p>
      <w:pPr>
        <w:pStyle w:val="6"/>
        <w:spacing w:line="520" w:lineRule="exact"/>
        <w:ind w:firstLine="643" w:firstLineChars="200"/>
        <w:rPr>
          <w:rFonts w:ascii="宋体" w:hAnsi="宋体"/>
          <w:sz w:val="32"/>
          <w:szCs w:val="32"/>
          <w:highlight w:val="none"/>
        </w:rPr>
      </w:pPr>
      <w:bookmarkStart w:id="214" w:name="_Toc21634"/>
      <w:bookmarkStart w:id="215" w:name="_Toc333936187"/>
      <w:bookmarkStart w:id="216" w:name="_Toc27415"/>
      <w:bookmarkStart w:id="217" w:name="_Toc408317041"/>
      <w:r>
        <w:rPr>
          <w:rFonts w:ascii="宋体" w:hAnsi="宋体"/>
          <w:sz w:val="32"/>
          <w:szCs w:val="32"/>
          <w:highlight w:val="none"/>
        </w:rPr>
        <w:t>2.2分值构成与评分标准</w:t>
      </w:r>
      <w:bookmarkEnd w:id="214"/>
      <w:bookmarkEnd w:id="215"/>
      <w:bookmarkEnd w:id="216"/>
      <w:bookmarkEnd w:id="217"/>
    </w:p>
    <w:p>
      <w:pPr>
        <w:spacing w:line="520" w:lineRule="exact"/>
        <w:ind w:firstLine="640" w:firstLineChars="200"/>
        <w:rPr>
          <w:rFonts w:hAnsi="宋体"/>
          <w:sz w:val="32"/>
          <w:szCs w:val="32"/>
          <w:highlight w:val="none"/>
        </w:rPr>
      </w:pPr>
      <w:r>
        <w:rPr>
          <w:rFonts w:hAnsi="宋体"/>
          <w:sz w:val="32"/>
          <w:szCs w:val="32"/>
          <w:highlight w:val="none"/>
        </w:rPr>
        <w:t>2.2.1 分值构成</w:t>
      </w:r>
    </w:p>
    <w:p>
      <w:pPr>
        <w:spacing w:line="520" w:lineRule="exact"/>
        <w:ind w:firstLine="640" w:firstLineChars="200"/>
        <w:rPr>
          <w:rFonts w:hAnsi="宋体"/>
          <w:sz w:val="32"/>
          <w:szCs w:val="32"/>
          <w:highlight w:val="none"/>
        </w:rPr>
      </w:pPr>
      <w:r>
        <w:rPr>
          <w:rFonts w:hAnsi="宋体"/>
          <w:sz w:val="32"/>
          <w:szCs w:val="32"/>
          <w:highlight w:val="none"/>
        </w:rPr>
        <w:t>（1）风险评审：见评审办法前附表；</w:t>
      </w:r>
    </w:p>
    <w:p>
      <w:pPr>
        <w:spacing w:line="520" w:lineRule="exact"/>
        <w:ind w:firstLine="640" w:firstLineChars="200"/>
        <w:rPr>
          <w:rFonts w:hAnsi="宋体"/>
          <w:sz w:val="32"/>
          <w:szCs w:val="32"/>
          <w:highlight w:val="none"/>
        </w:rPr>
      </w:pPr>
      <w:r>
        <w:rPr>
          <w:rFonts w:hAnsi="宋体"/>
          <w:sz w:val="32"/>
          <w:szCs w:val="32"/>
          <w:highlight w:val="none"/>
        </w:rPr>
        <w:t>（2）技术评审：见评审办法前附表；</w:t>
      </w:r>
    </w:p>
    <w:p>
      <w:pPr>
        <w:spacing w:line="520" w:lineRule="exact"/>
        <w:ind w:firstLine="640" w:firstLineChars="200"/>
        <w:rPr>
          <w:rFonts w:hAnsi="宋体"/>
          <w:sz w:val="32"/>
          <w:szCs w:val="32"/>
          <w:highlight w:val="none"/>
        </w:rPr>
      </w:pPr>
      <w:r>
        <w:rPr>
          <w:rFonts w:hAnsi="宋体"/>
          <w:sz w:val="32"/>
          <w:szCs w:val="32"/>
          <w:highlight w:val="none"/>
        </w:rPr>
        <w:t>（3）商务评审：见评审办法前附表；</w:t>
      </w:r>
    </w:p>
    <w:p>
      <w:pPr>
        <w:spacing w:line="520" w:lineRule="exact"/>
        <w:ind w:firstLine="640" w:firstLineChars="200"/>
        <w:rPr>
          <w:rFonts w:hAnsi="宋体"/>
          <w:sz w:val="32"/>
          <w:szCs w:val="32"/>
          <w:highlight w:val="none"/>
        </w:rPr>
      </w:pPr>
      <w:r>
        <w:rPr>
          <w:rFonts w:hAnsi="宋体"/>
          <w:sz w:val="32"/>
          <w:szCs w:val="32"/>
          <w:highlight w:val="none"/>
        </w:rPr>
        <w:t>2.2.2 评审基准价计算</w:t>
      </w:r>
    </w:p>
    <w:p>
      <w:pPr>
        <w:spacing w:line="520" w:lineRule="exact"/>
        <w:ind w:firstLine="640" w:firstLineChars="200"/>
        <w:rPr>
          <w:rFonts w:hAnsi="宋体"/>
          <w:sz w:val="32"/>
          <w:szCs w:val="32"/>
          <w:highlight w:val="none"/>
        </w:rPr>
      </w:pPr>
      <w:r>
        <w:rPr>
          <w:rFonts w:hAnsi="宋体"/>
          <w:sz w:val="32"/>
          <w:szCs w:val="32"/>
          <w:highlight w:val="none"/>
        </w:rPr>
        <w:t>评审基准价计算方法：见评审办法前附表。</w:t>
      </w:r>
    </w:p>
    <w:p>
      <w:pPr>
        <w:spacing w:line="520" w:lineRule="exact"/>
        <w:ind w:firstLine="640" w:firstLineChars="200"/>
        <w:rPr>
          <w:rFonts w:hAnsi="宋体"/>
          <w:sz w:val="32"/>
          <w:szCs w:val="32"/>
          <w:highlight w:val="none"/>
        </w:rPr>
      </w:pPr>
      <w:r>
        <w:rPr>
          <w:rFonts w:hAnsi="宋体"/>
          <w:sz w:val="32"/>
          <w:szCs w:val="32"/>
          <w:highlight w:val="none"/>
        </w:rPr>
        <w:t>2.2.3 评分标准</w:t>
      </w:r>
    </w:p>
    <w:p>
      <w:pPr>
        <w:spacing w:line="520" w:lineRule="exact"/>
        <w:ind w:firstLine="640" w:firstLineChars="200"/>
        <w:rPr>
          <w:rFonts w:hAnsi="宋体"/>
          <w:sz w:val="32"/>
          <w:szCs w:val="32"/>
          <w:highlight w:val="none"/>
        </w:rPr>
      </w:pPr>
      <w:r>
        <w:rPr>
          <w:rFonts w:hAnsi="宋体"/>
          <w:sz w:val="32"/>
          <w:szCs w:val="32"/>
          <w:highlight w:val="none"/>
        </w:rPr>
        <w:t>（1）风险评审评分标准：见评审办法前附表；</w:t>
      </w:r>
    </w:p>
    <w:p>
      <w:pPr>
        <w:spacing w:line="520" w:lineRule="exact"/>
        <w:ind w:firstLine="640" w:firstLineChars="200"/>
        <w:rPr>
          <w:rFonts w:hAnsi="宋体"/>
          <w:sz w:val="32"/>
          <w:szCs w:val="32"/>
          <w:highlight w:val="none"/>
        </w:rPr>
      </w:pPr>
      <w:r>
        <w:rPr>
          <w:rFonts w:hAnsi="宋体"/>
          <w:sz w:val="32"/>
          <w:szCs w:val="32"/>
          <w:highlight w:val="none"/>
        </w:rPr>
        <w:t>（2）技术评审评分标准：见评审办法前附表；</w:t>
      </w:r>
    </w:p>
    <w:p>
      <w:pPr>
        <w:spacing w:line="520" w:lineRule="exact"/>
        <w:ind w:firstLine="640" w:firstLineChars="200"/>
        <w:rPr>
          <w:rFonts w:hAnsi="宋体"/>
          <w:sz w:val="32"/>
          <w:szCs w:val="32"/>
          <w:highlight w:val="none"/>
        </w:rPr>
      </w:pPr>
      <w:r>
        <w:rPr>
          <w:rFonts w:hAnsi="宋体"/>
          <w:sz w:val="32"/>
          <w:szCs w:val="32"/>
          <w:highlight w:val="none"/>
        </w:rPr>
        <w:t>（3）商务评审评分标准：见评审办法前附表；</w:t>
      </w:r>
    </w:p>
    <w:p>
      <w:pPr>
        <w:pStyle w:val="5"/>
        <w:spacing w:line="520" w:lineRule="exact"/>
        <w:ind w:firstLine="643" w:firstLineChars="200"/>
        <w:rPr>
          <w:rFonts w:ascii="宋体" w:hAnsi="宋体"/>
          <w:szCs w:val="32"/>
          <w:highlight w:val="none"/>
        </w:rPr>
      </w:pPr>
      <w:bookmarkStart w:id="218" w:name="_Toc408317042"/>
      <w:bookmarkStart w:id="219" w:name="_Toc333936188"/>
      <w:bookmarkStart w:id="220" w:name="_Toc1326"/>
      <w:bookmarkStart w:id="221" w:name="_Toc21612"/>
      <w:bookmarkStart w:id="222" w:name="_Toc409528463"/>
      <w:bookmarkStart w:id="223" w:name="_Toc10569"/>
      <w:bookmarkStart w:id="224" w:name="_Toc26870"/>
      <w:r>
        <w:rPr>
          <w:rFonts w:ascii="宋体" w:hAnsi="宋体"/>
          <w:szCs w:val="32"/>
          <w:highlight w:val="none"/>
        </w:rPr>
        <w:t>3.评审程序</w:t>
      </w:r>
      <w:bookmarkEnd w:id="218"/>
      <w:bookmarkEnd w:id="219"/>
      <w:bookmarkEnd w:id="220"/>
      <w:bookmarkEnd w:id="221"/>
      <w:bookmarkEnd w:id="222"/>
      <w:bookmarkEnd w:id="223"/>
      <w:bookmarkEnd w:id="224"/>
    </w:p>
    <w:p>
      <w:pPr>
        <w:pStyle w:val="6"/>
        <w:spacing w:line="520" w:lineRule="exact"/>
        <w:ind w:firstLine="643" w:firstLineChars="200"/>
        <w:rPr>
          <w:rFonts w:ascii="宋体" w:hAnsi="宋体"/>
          <w:sz w:val="32"/>
          <w:szCs w:val="32"/>
          <w:highlight w:val="none"/>
        </w:rPr>
      </w:pPr>
      <w:bookmarkStart w:id="225" w:name="_Toc408317043"/>
      <w:bookmarkStart w:id="226" w:name="_Toc10188"/>
      <w:bookmarkStart w:id="227" w:name="_Toc333936189"/>
      <w:bookmarkStart w:id="228" w:name="_Toc11039"/>
      <w:r>
        <w:rPr>
          <w:rFonts w:ascii="宋体" w:hAnsi="宋体"/>
          <w:sz w:val="32"/>
          <w:szCs w:val="32"/>
          <w:highlight w:val="none"/>
        </w:rPr>
        <w:t>3.1 初步评审</w:t>
      </w:r>
      <w:bookmarkEnd w:id="225"/>
      <w:bookmarkEnd w:id="226"/>
      <w:bookmarkEnd w:id="227"/>
      <w:bookmarkEnd w:id="228"/>
    </w:p>
    <w:p>
      <w:pPr>
        <w:spacing w:line="520" w:lineRule="exact"/>
        <w:ind w:firstLine="640" w:firstLineChars="200"/>
        <w:rPr>
          <w:rFonts w:hAnsi="宋体"/>
          <w:sz w:val="32"/>
          <w:szCs w:val="32"/>
          <w:highlight w:val="none"/>
        </w:rPr>
      </w:pPr>
      <w:r>
        <w:rPr>
          <w:rFonts w:hAnsi="宋体"/>
          <w:sz w:val="32"/>
          <w:szCs w:val="32"/>
          <w:highlight w:val="none"/>
        </w:rPr>
        <w:t>3.1.1 评审委员会依据本章第2.1.1、2.1.2 款规定的标准对比选申请文件进行初步评审。有一项不符合评审标准的，作废标处理。</w:t>
      </w:r>
    </w:p>
    <w:p>
      <w:pPr>
        <w:spacing w:line="520" w:lineRule="exact"/>
        <w:ind w:firstLine="640" w:firstLineChars="200"/>
        <w:rPr>
          <w:rFonts w:hAnsi="宋体"/>
          <w:sz w:val="32"/>
          <w:szCs w:val="32"/>
          <w:highlight w:val="none"/>
        </w:rPr>
      </w:pPr>
      <w:r>
        <w:rPr>
          <w:rFonts w:hAnsi="宋体"/>
          <w:sz w:val="32"/>
          <w:szCs w:val="32"/>
          <w:highlight w:val="none"/>
        </w:rPr>
        <w:t>3.1.2 比选申请人有以下情形之一的，其比选申请作废标处理：</w:t>
      </w:r>
    </w:p>
    <w:p>
      <w:pPr>
        <w:spacing w:line="520" w:lineRule="exact"/>
        <w:ind w:firstLine="640" w:firstLineChars="200"/>
        <w:rPr>
          <w:rFonts w:hAnsi="宋体"/>
          <w:sz w:val="32"/>
          <w:szCs w:val="32"/>
          <w:highlight w:val="none"/>
        </w:rPr>
      </w:pPr>
      <w:r>
        <w:rPr>
          <w:rFonts w:hAnsi="宋体"/>
          <w:sz w:val="32"/>
          <w:szCs w:val="32"/>
          <w:highlight w:val="none"/>
        </w:rPr>
        <w:t>（1）串通比选申请或弄虚作假或有其他违法行为的；</w:t>
      </w:r>
    </w:p>
    <w:p>
      <w:pPr>
        <w:spacing w:line="520" w:lineRule="exact"/>
        <w:ind w:firstLine="640" w:firstLineChars="200"/>
        <w:rPr>
          <w:rFonts w:hAnsi="宋体"/>
          <w:sz w:val="32"/>
          <w:szCs w:val="32"/>
          <w:highlight w:val="none"/>
        </w:rPr>
      </w:pPr>
      <w:r>
        <w:rPr>
          <w:rFonts w:hAnsi="宋体"/>
          <w:sz w:val="32"/>
          <w:szCs w:val="32"/>
          <w:highlight w:val="none"/>
        </w:rPr>
        <w:t>（2）不按评审委员会要求澄清、说明或补正的。</w:t>
      </w:r>
    </w:p>
    <w:p>
      <w:pPr>
        <w:spacing w:line="520" w:lineRule="exact"/>
        <w:ind w:firstLine="640" w:firstLineChars="200"/>
        <w:rPr>
          <w:rFonts w:hAnsi="宋体"/>
          <w:sz w:val="32"/>
          <w:szCs w:val="32"/>
          <w:highlight w:val="none"/>
        </w:rPr>
      </w:pPr>
      <w:r>
        <w:rPr>
          <w:rFonts w:hAnsi="宋体"/>
          <w:sz w:val="32"/>
          <w:szCs w:val="32"/>
          <w:highlight w:val="none"/>
        </w:rPr>
        <w:t>3.1.3 比选申请报价有算术错误的，评审委员会按以下原则对比选申请报价进行修正，修正的价格经比选申请人书面确认后具有约束力。比选申请人不接受修正价格的，其比选申请作废标处理。</w:t>
      </w:r>
    </w:p>
    <w:p>
      <w:pPr>
        <w:spacing w:line="520" w:lineRule="exact"/>
        <w:ind w:firstLine="640" w:firstLineChars="200"/>
        <w:rPr>
          <w:rFonts w:hAnsi="宋体"/>
          <w:sz w:val="32"/>
          <w:szCs w:val="32"/>
          <w:highlight w:val="none"/>
        </w:rPr>
      </w:pPr>
      <w:r>
        <w:rPr>
          <w:rFonts w:hAnsi="宋体"/>
          <w:sz w:val="32"/>
          <w:szCs w:val="32"/>
          <w:highlight w:val="none"/>
        </w:rPr>
        <w:t>(1）比选申请文件中的大写金额与小写金额不一致的，以大写金额为准；</w:t>
      </w:r>
    </w:p>
    <w:p>
      <w:pPr>
        <w:spacing w:line="520" w:lineRule="exact"/>
        <w:ind w:firstLine="640" w:firstLineChars="200"/>
        <w:rPr>
          <w:rFonts w:hAnsi="宋体"/>
          <w:sz w:val="32"/>
          <w:szCs w:val="32"/>
          <w:highlight w:val="none"/>
        </w:rPr>
      </w:pPr>
      <w:r>
        <w:rPr>
          <w:rFonts w:hAnsi="宋体"/>
          <w:sz w:val="32"/>
          <w:szCs w:val="32"/>
          <w:highlight w:val="none"/>
        </w:rPr>
        <w:t>(2）总价金额与依据单价计算出的结果不一致的，以单价金额为准修正总价，但单价金额小数点有明显错误的除外。</w:t>
      </w:r>
    </w:p>
    <w:p>
      <w:pPr>
        <w:spacing w:line="520" w:lineRule="exact"/>
        <w:ind w:firstLine="640" w:firstLineChars="200"/>
        <w:rPr>
          <w:rFonts w:hAnsi="宋体"/>
          <w:sz w:val="32"/>
          <w:szCs w:val="32"/>
          <w:highlight w:val="none"/>
        </w:rPr>
      </w:pPr>
      <w:r>
        <w:rPr>
          <w:rFonts w:hAnsi="宋体"/>
          <w:sz w:val="32"/>
          <w:szCs w:val="32"/>
          <w:highlight w:val="none"/>
        </w:rPr>
        <w:t>(3)比选申请报价未按照国家相关规定和比选文件要求进行报价时，将据实修正。</w:t>
      </w:r>
    </w:p>
    <w:p>
      <w:pPr>
        <w:pStyle w:val="6"/>
        <w:spacing w:line="520" w:lineRule="exact"/>
        <w:ind w:firstLine="643" w:firstLineChars="200"/>
        <w:rPr>
          <w:rFonts w:ascii="宋体" w:hAnsi="宋体"/>
          <w:sz w:val="32"/>
          <w:szCs w:val="32"/>
          <w:highlight w:val="none"/>
        </w:rPr>
      </w:pPr>
      <w:bookmarkStart w:id="229" w:name="_Toc12033"/>
      <w:bookmarkStart w:id="230" w:name="_Toc2780"/>
      <w:bookmarkStart w:id="231" w:name="_Toc408317044"/>
      <w:bookmarkStart w:id="232" w:name="_Toc333936190"/>
      <w:r>
        <w:rPr>
          <w:rFonts w:ascii="宋体" w:hAnsi="宋体"/>
          <w:sz w:val="32"/>
          <w:szCs w:val="32"/>
          <w:highlight w:val="none"/>
        </w:rPr>
        <w:t>3.2详细评审</w:t>
      </w:r>
      <w:bookmarkEnd w:id="229"/>
      <w:bookmarkEnd w:id="230"/>
      <w:bookmarkEnd w:id="231"/>
      <w:bookmarkEnd w:id="232"/>
    </w:p>
    <w:p>
      <w:pPr>
        <w:spacing w:line="520" w:lineRule="exact"/>
        <w:ind w:firstLine="640" w:firstLineChars="200"/>
        <w:rPr>
          <w:rFonts w:hAnsi="宋体"/>
          <w:sz w:val="32"/>
          <w:szCs w:val="32"/>
          <w:highlight w:val="none"/>
        </w:rPr>
      </w:pPr>
      <w:r>
        <w:rPr>
          <w:rFonts w:hAnsi="宋体"/>
          <w:sz w:val="32"/>
          <w:szCs w:val="32"/>
          <w:highlight w:val="none"/>
        </w:rPr>
        <w:t>3.2.1 评审委员会按本章第2.2 款规定的量化因素和分值进行打分，并计算出综合评分。</w:t>
      </w:r>
    </w:p>
    <w:p>
      <w:pPr>
        <w:spacing w:line="520" w:lineRule="exact"/>
        <w:ind w:firstLine="640" w:firstLineChars="200"/>
        <w:rPr>
          <w:rFonts w:hAnsi="宋体"/>
          <w:sz w:val="32"/>
          <w:szCs w:val="32"/>
          <w:highlight w:val="none"/>
        </w:rPr>
      </w:pPr>
      <w:r>
        <w:rPr>
          <w:rFonts w:hAnsi="宋体"/>
          <w:sz w:val="32"/>
          <w:szCs w:val="32"/>
          <w:highlight w:val="none"/>
        </w:rPr>
        <w:t>（1）按本章第2.2.3(1）目规定的评审因素和分值对风险评审计算出得分A ；</w:t>
      </w:r>
    </w:p>
    <w:p>
      <w:pPr>
        <w:spacing w:line="520" w:lineRule="exact"/>
        <w:ind w:firstLine="640" w:firstLineChars="200"/>
        <w:rPr>
          <w:rFonts w:hAnsi="宋体"/>
          <w:sz w:val="32"/>
          <w:szCs w:val="32"/>
          <w:highlight w:val="none"/>
        </w:rPr>
      </w:pPr>
      <w:r>
        <w:rPr>
          <w:rFonts w:hAnsi="宋体"/>
          <w:sz w:val="32"/>
          <w:szCs w:val="32"/>
          <w:highlight w:val="none"/>
        </w:rPr>
        <w:t>（2）按本章第2.2.3(2）目规定的评审因素和分值对技术评审计算出得分B；</w:t>
      </w:r>
    </w:p>
    <w:p>
      <w:pPr>
        <w:spacing w:line="520" w:lineRule="exact"/>
        <w:ind w:firstLine="640" w:firstLineChars="200"/>
        <w:rPr>
          <w:rFonts w:hAnsi="宋体"/>
          <w:sz w:val="32"/>
          <w:szCs w:val="32"/>
          <w:highlight w:val="none"/>
        </w:rPr>
      </w:pPr>
      <w:r>
        <w:rPr>
          <w:rFonts w:hAnsi="宋体"/>
          <w:sz w:val="32"/>
          <w:szCs w:val="32"/>
          <w:highlight w:val="none"/>
        </w:rPr>
        <w:t>（3）按本章第2.2.3(3）目规定的评审因素和分值对商务评审计算出得分C；</w:t>
      </w:r>
    </w:p>
    <w:p>
      <w:pPr>
        <w:spacing w:line="520" w:lineRule="exact"/>
        <w:ind w:firstLine="640" w:firstLineChars="200"/>
        <w:rPr>
          <w:rFonts w:hAnsi="宋体"/>
          <w:sz w:val="32"/>
          <w:szCs w:val="32"/>
          <w:highlight w:val="none"/>
        </w:rPr>
      </w:pPr>
      <w:r>
        <w:rPr>
          <w:rFonts w:hAnsi="宋体"/>
          <w:sz w:val="32"/>
          <w:szCs w:val="32"/>
          <w:highlight w:val="none"/>
        </w:rPr>
        <w:t>3.2.2 评分分值计算保留整数，小数点后第一位“四舍五入”。</w:t>
      </w:r>
    </w:p>
    <w:p>
      <w:pPr>
        <w:spacing w:line="520" w:lineRule="exact"/>
        <w:ind w:firstLine="640" w:firstLineChars="200"/>
        <w:rPr>
          <w:rFonts w:hAnsi="宋体"/>
          <w:sz w:val="32"/>
          <w:szCs w:val="32"/>
          <w:highlight w:val="none"/>
        </w:rPr>
      </w:pPr>
      <w:r>
        <w:rPr>
          <w:rFonts w:hAnsi="宋体"/>
          <w:sz w:val="32"/>
          <w:szCs w:val="32"/>
          <w:highlight w:val="none"/>
        </w:rPr>
        <w:t>3.2.3 比选申请人得分A+B+C。</w:t>
      </w:r>
    </w:p>
    <w:p>
      <w:pPr>
        <w:spacing w:line="520" w:lineRule="exact"/>
        <w:ind w:firstLine="640" w:firstLineChars="200"/>
        <w:rPr>
          <w:rFonts w:hAnsi="宋体"/>
          <w:sz w:val="32"/>
          <w:szCs w:val="32"/>
          <w:highlight w:val="none"/>
        </w:rPr>
      </w:pPr>
      <w:r>
        <w:rPr>
          <w:rFonts w:hAnsi="宋体"/>
          <w:sz w:val="32"/>
          <w:szCs w:val="32"/>
          <w:highlight w:val="none"/>
        </w:rPr>
        <w:t>3.2.4 评审委员会发现比选申请人的报价明显低于其他比选申请报价，使得其比选申请报价可能低于其个别成本的，应当要求该比选申请人作出书面说明并提供相应的证明材料。比选申请人不能合理说明或者不能提供相应证明材料的，由评审委员会认定该比选申请人以低于成本报价竞标，其比选申请作废标处理。</w:t>
      </w:r>
    </w:p>
    <w:p>
      <w:pPr>
        <w:pStyle w:val="6"/>
        <w:spacing w:line="520" w:lineRule="exact"/>
        <w:ind w:firstLine="643" w:firstLineChars="200"/>
        <w:rPr>
          <w:rFonts w:ascii="宋体" w:hAnsi="宋体"/>
          <w:sz w:val="32"/>
          <w:szCs w:val="32"/>
          <w:highlight w:val="none"/>
        </w:rPr>
      </w:pPr>
      <w:bookmarkStart w:id="233" w:name="_Toc25944"/>
      <w:bookmarkStart w:id="234" w:name="_Toc11369"/>
      <w:bookmarkStart w:id="235" w:name="_Toc408317045"/>
      <w:bookmarkStart w:id="236" w:name="_Toc333936191"/>
      <w:r>
        <w:rPr>
          <w:rFonts w:ascii="宋体" w:hAnsi="宋体"/>
          <w:sz w:val="32"/>
          <w:szCs w:val="32"/>
          <w:highlight w:val="none"/>
        </w:rPr>
        <w:t>3.3 比选申请文件的澄清和补正</w:t>
      </w:r>
      <w:bookmarkEnd w:id="233"/>
      <w:bookmarkEnd w:id="234"/>
      <w:bookmarkEnd w:id="235"/>
      <w:bookmarkEnd w:id="236"/>
    </w:p>
    <w:p>
      <w:pPr>
        <w:spacing w:line="520" w:lineRule="exact"/>
        <w:ind w:firstLine="640" w:firstLineChars="200"/>
        <w:rPr>
          <w:rFonts w:hAnsi="宋体"/>
          <w:sz w:val="32"/>
          <w:szCs w:val="32"/>
          <w:highlight w:val="none"/>
        </w:rPr>
      </w:pPr>
      <w:r>
        <w:rPr>
          <w:rFonts w:hAnsi="宋体"/>
          <w:sz w:val="32"/>
          <w:szCs w:val="32"/>
          <w:highlight w:val="none"/>
        </w:rPr>
        <w:t>3.3.1 在评审过程中，评审委员会可以书面形式要求比选申请人对所提交的比选申请文件中不明确的内容进行书面澄清或说明，或者对细微偏差进行补正。评审委员会不接受比选申请人主动提出的澄清、说明或补正。</w:t>
      </w:r>
    </w:p>
    <w:p>
      <w:pPr>
        <w:spacing w:line="520" w:lineRule="exact"/>
        <w:ind w:firstLine="640" w:firstLineChars="200"/>
        <w:rPr>
          <w:rFonts w:hAnsi="宋体"/>
          <w:sz w:val="32"/>
          <w:szCs w:val="32"/>
          <w:highlight w:val="none"/>
        </w:rPr>
      </w:pPr>
      <w:r>
        <w:rPr>
          <w:rFonts w:hAnsi="宋体"/>
          <w:sz w:val="32"/>
          <w:szCs w:val="32"/>
          <w:highlight w:val="none"/>
        </w:rPr>
        <w:t>3.3.2 澄清、说明和补正不得改变比选申请文件的实质性内容（算术性错误修正的除外）。比选申请人的书面澄清、说明和补正属于比选申请文件的组成部分。</w:t>
      </w:r>
    </w:p>
    <w:p>
      <w:pPr>
        <w:spacing w:line="520" w:lineRule="exact"/>
        <w:ind w:firstLine="640" w:firstLineChars="200"/>
        <w:rPr>
          <w:rFonts w:hAnsi="宋体"/>
          <w:sz w:val="32"/>
          <w:szCs w:val="32"/>
          <w:highlight w:val="none"/>
        </w:rPr>
      </w:pPr>
      <w:r>
        <w:rPr>
          <w:rFonts w:hAnsi="宋体"/>
          <w:sz w:val="32"/>
          <w:szCs w:val="32"/>
          <w:highlight w:val="none"/>
        </w:rPr>
        <w:t>3.3.3 评审委员会对比选申请人提交的澄清、说明或补正有疑问的，可以要求比选申请人进一步澄清、说明或补正，直至满足评审委员会的要求。</w:t>
      </w:r>
    </w:p>
    <w:p>
      <w:pPr>
        <w:pStyle w:val="6"/>
        <w:spacing w:line="520" w:lineRule="exact"/>
        <w:ind w:firstLine="643" w:firstLineChars="200"/>
        <w:rPr>
          <w:rFonts w:ascii="宋体" w:hAnsi="宋体"/>
          <w:sz w:val="32"/>
          <w:szCs w:val="32"/>
          <w:highlight w:val="none"/>
        </w:rPr>
      </w:pPr>
      <w:bookmarkStart w:id="237" w:name="_Toc408317046"/>
      <w:bookmarkStart w:id="238" w:name="_Toc333936192"/>
      <w:bookmarkStart w:id="239" w:name="_Toc9510"/>
      <w:bookmarkStart w:id="240" w:name="_Toc11936"/>
      <w:r>
        <w:rPr>
          <w:rFonts w:ascii="宋体" w:hAnsi="宋体"/>
          <w:sz w:val="32"/>
          <w:szCs w:val="32"/>
          <w:highlight w:val="none"/>
        </w:rPr>
        <w:t>3.4评审结果</w:t>
      </w:r>
      <w:bookmarkEnd w:id="237"/>
      <w:bookmarkEnd w:id="238"/>
      <w:bookmarkEnd w:id="239"/>
      <w:bookmarkEnd w:id="240"/>
    </w:p>
    <w:p>
      <w:pPr>
        <w:spacing w:line="520" w:lineRule="exact"/>
        <w:ind w:firstLine="640" w:firstLineChars="200"/>
        <w:rPr>
          <w:rFonts w:hAnsi="宋体"/>
          <w:sz w:val="32"/>
          <w:szCs w:val="32"/>
          <w:highlight w:val="none"/>
        </w:rPr>
      </w:pPr>
      <w:r>
        <w:rPr>
          <w:rFonts w:hAnsi="宋体"/>
          <w:sz w:val="32"/>
          <w:szCs w:val="32"/>
          <w:highlight w:val="none"/>
        </w:rPr>
        <w:t>3.4.1评审委员会按照得分由高到低的顺序推荐中选候选人。</w:t>
      </w:r>
    </w:p>
    <w:p>
      <w:pPr>
        <w:spacing w:line="520" w:lineRule="exact"/>
        <w:ind w:firstLine="640" w:firstLineChars="200"/>
        <w:jc w:val="left"/>
        <w:rPr>
          <w:rFonts w:hAnsi="宋体"/>
          <w:sz w:val="32"/>
          <w:szCs w:val="32"/>
          <w:highlight w:val="none"/>
        </w:rPr>
        <w:sectPr>
          <w:footerReference r:id="rId5" w:type="first"/>
          <w:pgSz w:w="11906" w:h="16838"/>
          <w:pgMar w:top="1418" w:right="1304" w:bottom="1418" w:left="1701" w:header="851" w:footer="851" w:gutter="0"/>
          <w:cols w:space="720" w:num="1"/>
          <w:titlePg/>
          <w:docGrid w:linePitch="312" w:charSpace="0"/>
        </w:sectPr>
      </w:pPr>
      <w:r>
        <w:rPr>
          <w:rFonts w:hAnsi="宋体"/>
          <w:sz w:val="32"/>
          <w:szCs w:val="32"/>
          <w:highlight w:val="none"/>
        </w:rPr>
        <w:t>3.4.2评审委员会完成评审后，应当向比选人提交书面评审报告。</w:t>
      </w:r>
      <w:bookmarkEnd w:id="183"/>
      <w:bookmarkEnd w:id="184"/>
      <w:bookmarkEnd w:id="185"/>
      <w:bookmarkEnd w:id="186"/>
      <w:bookmarkEnd w:id="187"/>
      <w:bookmarkEnd w:id="188"/>
      <w:bookmarkEnd w:id="189"/>
      <w:bookmarkEnd w:id="190"/>
      <w:bookmarkEnd w:id="191"/>
      <w:bookmarkEnd w:id="192"/>
      <w:bookmarkEnd w:id="193"/>
    </w:p>
    <w:p>
      <w:pPr>
        <w:spacing w:line="560" w:lineRule="exact"/>
        <w:rPr>
          <w:rFonts w:hAnsi="宋体"/>
          <w:bCs/>
          <w:sz w:val="21"/>
          <w:szCs w:val="21"/>
          <w:highlight w:val="none"/>
        </w:rPr>
      </w:pPr>
      <w:bookmarkStart w:id="241" w:name="_Toc408317161"/>
      <w:bookmarkStart w:id="242" w:name="_Toc28872"/>
      <w:bookmarkStart w:id="243" w:name="_Toc26433"/>
      <w:bookmarkStart w:id="244" w:name="_Toc30202"/>
      <w:bookmarkStart w:id="245" w:name="_Toc184635124"/>
      <w:bookmarkStart w:id="246" w:name="_Toc4464"/>
    </w:p>
    <w:p>
      <w:pPr>
        <w:pStyle w:val="3"/>
        <w:spacing w:line="560" w:lineRule="exact"/>
        <w:jc w:val="center"/>
        <w:rPr>
          <w:rFonts w:ascii="宋体" w:hAnsi="宋体"/>
          <w:highlight w:val="none"/>
        </w:rPr>
      </w:pPr>
      <w:bookmarkStart w:id="247" w:name="_Toc475463262"/>
      <w:r>
        <w:rPr>
          <w:rFonts w:ascii="宋体" w:hAnsi="宋体"/>
          <w:szCs w:val="32"/>
          <w:highlight w:val="none"/>
        </w:rPr>
        <w:t xml:space="preserve">第四章  </w:t>
      </w:r>
      <w:r>
        <w:rPr>
          <w:rFonts w:ascii="宋体" w:hAnsi="宋体"/>
          <w:highlight w:val="none"/>
        </w:rPr>
        <w:t>合同条款及格式</w:t>
      </w:r>
      <w:bookmarkEnd w:id="247"/>
    </w:p>
    <w:p>
      <w:pPr>
        <w:spacing w:line="560" w:lineRule="exact"/>
        <w:rPr>
          <w:rFonts w:hAnsi="宋体"/>
          <w:b/>
          <w:color w:val="000000"/>
          <w:sz w:val="52"/>
          <w:szCs w:val="52"/>
          <w:highlight w:val="none"/>
        </w:rPr>
      </w:pPr>
    </w:p>
    <w:p>
      <w:pPr>
        <w:spacing w:line="560" w:lineRule="exact"/>
        <w:rPr>
          <w:rFonts w:hAnsi="宋体"/>
          <w:b/>
          <w:color w:val="000000"/>
          <w:sz w:val="30"/>
          <w:szCs w:val="30"/>
          <w:highlight w:val="none"/>
        </w:rPr>
      </w:pPr>
      <w:r>
        <w:rPr>
          <w:rFonts w:hAnsi="宋体"/>
          <w:b/>
          <w:color w:val="000000"/>
          <w:sz w:val="30"/>
          <w:szCs w:val="30"/>
          <w:highlight w:val="none"/>
        </w:rPr>
        <w:t>合同编号：_________</w:t>
      </w:r>
    </w:p>
    <w:p>
      <w:pPr>
        <w:spacing w:line="560" w:lineRule="exact"/>
        <w:rPr>
          <w:rFonts w:hAnsi="宋体"/>
          <w:highlight w:val="none"/>
        </w:rPr>
      </w:pPr>
    </w:p>
    <w:p>
      <w:pPr>
        <w:spacing w:line="560" w:lineRule="exact"/>
        <w:rPr>
          <w:rFonts w:hAnsi="宋体"/>
          <w:highlight w:val="none"/>
        </w:rPr>
      </w:pPr>
    </w:p>
    <w:p>
      <w:pPr>
        <w:spacing w:line="560" w:lineRule="exact"/>
        <w:rPr>
          <w:rFonts w:hAnsi="宋体"/>
          <w:highlight w:val="none"/>
        </w:rPr>
      </w:pPr>
    </w:p>
    <w:p>
      <w:pPr>
        <w:spacing w:line="560" w:lineRule="exact"/>
        <w:rPr>
          <w:rFonts w:hAnsi="宋体"/>
          <w:highlight w:val="none"/>
        </w:rPr>
      </w:pPr>
    </w:p>
    <w:p>
      <w:pPr>
        <w:rPr>
          <w:rFonts w:hAnsi="宋体"/>
          <w:highlight w:val="none"/>
        </w:rPr>
      </w:pPr>
    </w:p>
    <w:p>
      <w:pPr>
        <w:rPr>
          <w:rFonts w:hAnsi="宋体"/>
          <w:highlight w:val="none"/>
        </w:rPr>
      </w:pPr>
    </w:p>
    <w:p>
      <w:pPr>
        <w:rPr>
          <w:rFonts w:hAnsi="宋体"/>
          <w:highlight w:val="none"/>
        </w:rPr>
      </w:pPr>
    </w:p>
    <w:p>
      <w:pPr>
        <w:jc w:val="center"/>
        <w:rPr>
          <w:rFonts w:hAnsi="宋体"/>
          <w:b/>
          <w:sz w:val="72"/>
          <w:szCs w:val="72"/>
          <w:highlight w:val="none"/>
        </w:rPr>
      </w:pPr>
      <w:r>
        <w:rPr>
          <w:rFonts w:hint="eastAsia" w:hAnsi="宋体"/>
          <w:b/>
          <w:sz w:val="72"/>
          <w:szCs w:val="72"/>
          <w:highlight w:val="none"/>
        </w:rPr>
        <w:t>人力资源服务中介机构</w:t>
      </w:r>
      <w:r>
        <w:rPr>
          <w:rFonts w:hAnsi="宋体"/>
          <w:b/>
          <w:sz w:val="72"/>
          <w:szCs w:val="72"/>
          <w:highlight w:val="none"/>
        </w:rPr>
        <w:t>服务</w:t>
      </w:r>
    </w:p>
    <w:p>
      <w:pPr>
        <w:jc w:val="center"/>
        <w:rPr>
          <w:rFonts w:hAnsi="宋体"/>
          <w:b/>
          <w:sz w:val="72"/>
          <w:szCs w:val="72"/>
          <w:highlight w:val="none"/>
        </w:rPr>
      </w:pPr>
      <w:r>
        <w:rPr>
          <w:rFonts w:hAnsi="宋体"/>
          <w:b/>
          <w:sz w:val="72"/>
          <w:szCs w:val="72"/>
          <w:highlight w:val="none"/>
        </w:rPr>
        <w:t>合同</w:t>
      </w:r>
    </w:p>
    <w:p>
      <w:pPr>
        <w:pStyle w:val="15"/>
        <w:ind w:firstLine="680"/>
        <w:rPr>
          <w:rFonts w:ascii="宋体" w:hAnsi="宋体"/>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jc w:val="center"/>
        <w:rPr>
          <w:rFonts w:hAnsi="宋体"/>
          <w:color w:val="auto"/>
          <w:highlight w:val="none"/>
        </w:rPr>
      </w:pPr>
    </w:p>
    <w:p>
      <w:pPr>
        <w:pStyle w:val="36"/>
        <w:spacing w:before="0" w:beforeAutospacing="0" w:after="0" w:afterAutospacing="0" w:line="560" w:lineRule="exact"/>
        <w:rPr>
          <w:rFonts w:hAnsi="宋体"/>
          <w:color w:val="auto"/>
          <w:highlight w:val="none"/>
        </w:rPr>
      </w:pPr>
    </w:p>
    <w:bookmarkEnd w:id="241"/>
    <w:bookmarkEnd w:id="242"/>
    <w:bookmarkEnd w:id="243"/>
    <w:bookmarkEnd w:id="244"/>
    <w:bookmarkEnd w:id="245"/>
    <w:bookmarkEnd w:id="246"/>
    <w:p>
      <w:pPr>
        <w:widowControl/>
        <w:jc w:val="center"/>
        <w:rPr>
          <w:rFonts w:ascii="仿宋" w:hAnsi="仿宋" w:eastAsia="仿宋" w:cs="仿宋"/>
          <w:b/>
          <w:sz w:val="40"/>
          <w:szCs w:val="40"/>
          <w:highlight w:val="none"/>
        </w:rPr>
      </w:pPr>
      <w:bookmarkStart w:id="248" w:name="_Toc5347"/>
      <w:bookmarkStart w:id="249" w:name="_Toc475463263"/>
      <w:r>
        <w:rPr>
          <w:rFonts w:hint="eastAsia" w:ascii="仿宋" w:hAnsi="仿宋" w:eastAsia="仿宋" w:cs="仿宋"/>
          <w:b/>
          <w:sz w:val="40"/>
          <w:szCs w:val="40"/>
          <w:highlight w:val="none"/>
        </w:rPr>
        <w:t>四川蜀物蓉欧实业有限</w:t>
      </w:r>
      <w:r>
        <w:rPr>
          <w:rFonts w:ascii="仿宋" w:hAnsi="仿宋" w:eastAsia="仿宋" w:cs="仿宋"/>
          <w:b/>
          <w:sz w:val="40"/>
          <w:szCs w:val="40"/>
          <w:highlight w:val="none"/>
        </w:rPr>
        <w:t>公司</w:t>
      </w:r>
    </w:p>
    <w:p>
      <w:pPr>
        <w:widowControl/>
        <w:jc w:val="center"/>
        <w:rPr>
          <w:rFonts w:ascii="仿宋" w:hAnsi="仿宋" w:eastAsia="仿宋" w:cs="仿宋"/>
          <w:b/>
          <w:sz w:val="40"/>
          <w:szCs w:val="40"/>
          <w:highlight w:val="none"/>
        </w:rPr>
      </w:pPr>
      <w:r>
        <w:rPr>
          <w:rFonts w:hint="eastAsia" w:ascii="仿宋" w:hAnsi="仿宋" w:eastAsia="仿宋" w:cs="仿宋"/>
          <w:b/>
          <w:sz w:val="40"/>
          <w:szCs w:val="40"/>
          <w:highlight w:val="none"/>
        </w:rPr>
        <w:t>人力资源服务中介机构选聘项目</w:t>
      </w:r>
    </w:p>
    <w:p>
      <w:pPr>
        <w:widowControl/>
        <w:jc w:val="center"/>
        <w:rPr>
          <w:rFonts w:ascii="仿宋" w:hAnsi="仿宋" w:eastAsia="仿宋" w:cs="仿宋"/>
          <w:b/>
          <w:sz w:val="40"/>
          <w:szCs w:val="40"/>
          <w:highlight w:val="none"/>
        </w:rPr>
      </w:pPr>
    </w:p>
    <w:p>
      <w:pPr>
        <w:spacing w:line="360" w:lineRule="auto"/>
        <w:jc w:val="right"/>
        <w:rPr>
          <w:rFonts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（合同编号：</w:t>
      </w:r>
      <w:r>
        <w:rPr>
          <w:rFonts w:hAnsi="宋体" w:cs="宋体"/>
          <w:sz w:val="24"/>
          <w:highlight w:val="none"/>
        </w:rPr>
        <w:t xml:space="preserve">          </w:t>
      </w:r>
      <w:r>
        <w:rPr>
          <w:rFonts w:hint="eastAsia" w:ascii="仿宋_GB2312" w:hAnsi="仿宋_GB2312" w:eastAsia="仿宋_GB2312" w:cs="仿宋_GB2312"/>
          <w:bCs/>
          <w:sz w:val="28"/>
          <w:szCs w:val="28"/>
          <w:highlight w:val="none"/>
        </w:rPr>
        <w:t xml:space="preserve"> ）</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甲方：</w:t>
      </w:r>
    </w:p>
    <w:p>
      <w:pPr>
        <w:pStyle w:val="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注册地址：</w:t>
      </w:r>
    </w:p>
    <w:p>
      <w:pPr>
        <w:pStyle w:val="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w:t>
      </w:r>
    </w:p>
    <w:p>
      <w:pPr>
        <w:pStyle w:val="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注册地址：</w:t>
      </w:r>
    </w:p>
    <w:p>
      <w:pPr>
        <w:pStyle w:val="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pPr>
        <w:spacing w:line="360" w:lineRule="auto"/>
        <w:rPr>
          <w:rFonts w:ascii="仿宋_GB2312" w:hAnsi="仿宋_GB2312" w:eastAsia="仿宋_GB2312" w:cs="仿宋_GB2312"/>
          <w:bCs/>
          <w:sz w:val="28"/>
          <w:szCs w:val="28"/>
          <w:highlight w:val="none"/>
        </w:rPr>
      </w:pPr>
    </w:p>
    <w:p>
      <w:pPr>
        <w:spacing w:line="560" w:lineRule="exact"/>
        <w:ind w:firstLine="560" w:firstLineChars="200"/>
        <w:rPr>
          <w:highlight w:val="none"/>
        </w:rPr>
      </w:pPr>
      <w:r>
        <w:rPr>
          <w:rFonts w:hint="eastAsia" w:ascii="仿宋_GB2312" w:hAnsi="仿宋_GB2312" w:eastAsia="仿宋_GB2312" w:cs="仿宋_GB2312"/>
          <w:sz w:val="28"/>
          <w:szCs w:val="28"/>
          <w:highlight w:val="none"/>
        </w:rPr>
        <w:t>依据《中华人民共和国民法典》等有关法律规定，甲乙双方就乙方为甲方提供人力资源咨询服务事宜，经双方友好协商达成如下共识，并签订本合同。</w:t>
      </w:r>
    </w:p>
    <w:p>
      <w:pPr>
        <w:pStyle w:val="23"/>
        <w:spacing w:line="560" w:lineRule="exact"/>
        <w:ind w:firstLine="571"/>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第一条 项目名称</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四川蜀物蓉欧实业有限公司人力资源服务中介机构选聘项目</w:t>
      </w:r>
    </w:p>
    <w:p>
      <w:pPr>
        <w:pStyle w:val="23"/>
        <w:spacing w:line="560" w:lineRule="exact"/>
        <w:ind w:firstLine="571"/>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第二条 咨询服务范围与内容</w:t>
      </w:r>
    </w:p>
    <w:p>
      <w:pPr>
        <w:pStyle w:val="8"/>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本项目的服务范围及工作内容包括如下几方面的内容：</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val="en-US" w:eastAsia="zh-CN"/>
        </w:rPr>
        <w:t>四川蜀物蓉欧实业有限</w:t>
      </w:r>
      <w:r>
        <w:rPr>
          <w:rFonts w:hint="eastAsia" w:ascii="仿宋_GB2312" w:hAnsi="仿宋_GB2312" w:eastAsia="仿宋_GB2312" w:cs="仿宋_GB2312"/>
          <w:sz w:val="28"/>
          <w:szCs w:val="28"/>
          <w:highlight w:val="none"/>
        </w:rPr>
        <w:t>公司现有组织架构与岗位设置情况，开展公司各岗位任职资格体系设计，分解部门职责，编写岗位说明书；</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建立岗位价值体系，完成岗位价值评估，落实岗位价值差异；</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建立公司内部员工职业发展通道体系，畅通员工内部职业发展；</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根据公司业务发展定位，结合蜀道物流集团工资总额与内部分配管理相关规定，优化完成员工薪酬体系建设，建立差异化工资结构和工资水平体系，实施工资套改；</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完成公司绩效体系建设，建立定性与定量相结合的绩效体系，差异化设计业务端岗位和非业务端岗位、业务部门内部的考核分配模型，实现业绩贡献与薪酬的有效联动；</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根据蜀道集团、蜀道物流集团企业负责人薪酬和考核相关规定，结合公司实际，制定公司领导班子成员薪酬与考核管理办法；</w:t>
      </w:r>
    </w:p>
    <w:p>
      <w:pPr>
        <w:pStyle w:val="37"/>
        <w:numPr>
          <w:ilvl w:val="0"/>
          <w:numId w:val="1"/>
        </w:numPr>
        <w:tabs>
          <w:tab w:val="left" w:pos="851"/>
          <w:tab w:val="left" w:pos="1134"/>
        </w:tabs>
        <w:spacing w:line="560" w:lineRule="exact"/>
        <w:ind w:left="0" w:firstLine="565" w:firstLineChars="202"/>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辅导薪酬绩效体系落地执行，并根据体系落地情况进行适应性微调。</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上述具体服务内容及相关工作成果详见附件</w:t>
      </w:r>
      <w:r>
        <w:rPr>
          <w:rFonts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rPr>
        <w:t>四川蜀物蓉欧实业有限责任</w:t>
      </w:r>
      <w:r>
        <w:rPr>
          <w:rFonts w:ascii="仿宋_GB2312" w:hAnsi="仿宋_GB2312" w:eastAsia="仿宋_GB2312" w:cs="仿宋_GB2312"/>
          <w:sz w:val="28"/>
          <w:szCs w:val="28"/>
          <w:highlight w:val="none"/>
        </w:rPr>
        <w:t>公司</w:t>
      </w:r>
      <w:r>
        <w:rPr>
          <w:rFonts w:hint="eastAsia" w:ascii="仿宋_GB2312" w:hAnsi="仿宋_GB2312" w:eastAsia="仿宋_GB2312" w:cs="仿宋_GB2312"/>
          <w:sz w:val="28"/>
          <w:szCs w:val="28"/>
          <w:highlight w:val="none"/>
        </w:rPr>
        <w:t>人力资源咨询服务项目工作清单》。</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第三条 咨询服务时间</w:t>
      </w:r>
    </w:p>
    <w:p>
      <w:pPr>
        <w:pStyle w:val="8"/>
        <w:numPr>
          <w:ilvl w:val="0"/>
          <w:numId w:val="2"/>
        </w:numPr>
        <w:spacing w:line="560" w:lineRule="exact"/>
        <w:ind w:left="0" w:firstLine="565" w:firstLineChars="202"/>
        <w:rPr>
          <w:rFonts w:ascii="仿宋_GB2312" w:hAnsi="仿宋_GB2312" w:eastAsia="仿宋_GB2312" w:cs="仿宋_GB2312"/>
          <w:szCs w:val="28"/>
          <w:highlight w:val="none"/>
        </w:rPr>
      </w:pPr>
      <w:r>
        <w:rPr>
          <w:rFonts w:hint="eastAsia" w:ascii="仿宋_GB2312" w:hAnsi="仿宋_GB2312" w:eastAsia="仿宋_GB2312" w:cs="仿宋_GB2312"/>
          <w:sz w:val="28"/>
          <w:szCs w:val="28"/>
          <w:highlight w:val="none"/>
        </w:rPr>
        <w:t>乙方应在合同签订后120</w:t>
      </w:r>
      <w:r>
        <w:rPr>
          <w:rFonts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rPr>
        <w:t>内</w:t>
      </w:r>
      <w:r>
        <w:rPr>
          <w:rFonts w:ascii="仿宋_GB2312" w:hAnsi="仿宋_GB2312" w:eastAsia="仿宋_GB2312" w:cs="仿宋_GB2312"/>
          <w:sz w:val="28"/>
          <w:szCs w:val="28"/>
          <w:highlight w:val="none"/>
        </w:rPr>
        <w:t>完成本合同项下全部咨询服务工作</w:t>
      </w:r>
      <w:r>
        <w:rPr>
          <w:rFonts w:hint="eastAsia" w:ascii="仿宋_GB2312" w:hAnsi="仿宋_GB2312" w:eastAsia="仿宋_GB2312" w:cs="仿宋_GB2312"/>
          <w:sz w:val="28"/>
          <w:szCs w:val="28"/>
          <w:highlight w:val="none"/>
        </w:rPr>
        <w:t>（附件1）；</w:t>
      </w:r>
      <w:r>
        <w:rPr>
          <w:rFonts w:hint="eastAsia" w:ascii="仿宋_GB2312" w:hAnsi="仿宋_GB2312" w:eastAsia="仿宋_GB2312" w:cs="仿宋_GB2312"/>
          <w:sz w:val="28"/>
          <w:szCs w:val="28"/>
          <w:highlight w:val="none"/>
          <w:lang w:val="en-US" w:eastAsia="zh-CN"/>
        </w:rPr>
        <w:t>项目验收合格后，</w:t>
      </w:r>
      <w:r>
        <w:rPr>
          <w:rFonts w:hint="eastAsia" w:ascii="仿宋_GB2312" w:hAnsi="仿宋_GB2312" w:eastAsia="仿宋_GB2312" w:cs="仿宋_GB2312"/>
          <w:sz w:val="28"/>
          <w:szCs w:val="28"/>
          <w:highlight w:val="none"/>
        </w:rPr>
        <w:t>后续提供180日历天的跟踪辅助服务。</w:t>
      </w:r>
    </w:p>
    <w:p>
      <w:pPr>
        <w:pStyle w:val="8"/>
        <w:numPr>
          <w:ilvl w:val="0"/>
          <w:numId w:val="2"/>
        </w:numPr>
        <w:spacing w:line="560" w:lineRule="exact"/>
        <w:ind w:left="0" w:firstLine="565" w:firstLineChars="202"/>
        <w:rPr>
          <w:rFonts w:ascii="仿宋_GB2312" w:hAnsi="仿宋_GB2312" w:eastAsia="仿宋_GB2312" w:cs="仿宋_GB2312"/>
          <w:szCs w:val="28"/>
          <w:highlight w:val="none"/>
        </w:rPr>
      </w:pPr>
      <w:r>
        <w:rPr>
          <w:rFonts w:hint="eastAsia" w:ascii="仿宋_GB2312" w:hAnsi="仿宋_GB2312" w:eastAsia="仿宋_GB2312" w:cs="仿宋_GB2312"/>
          <w:sz w:val="28"/>
          <w:szCs w:val="28"/>
          <w:highlight w:val="none"/>
        </w:rPr>
        <w:t>因甲方业务战略变化、上级主管部门要求、内部经营管理变化等原因导致项目延期的，同约定项目周期相应顺延，甲方不承担违约责任。</w:t>
      </w:r>
    </w:p>
    <w:p>
      <w:pPr>
        <w:pStyle w:val="23"/>
        <w:spacing w:line="560" w:lineRule="exact"/>
        <w:ind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sz w:val="28"/>
          <w:szCs w:val="28"/>
          <w:highlight w:val="none"/>
        </w:rPr>
        <w:t>第四条</w:t>
      </w:r>
      <w:r>
        <w:rPr>
          <w:rFonts w:ascii="仿宋_GB2312" w:hAnsi="仿宋_GB2312" w:eastAsia="仿宋_GB2312" w:cs="仿宋_GB2312"/>
          <w:b/>
          <w:sz w:val="28"/>
          <w:szCs w:val="28"/>
          <w:highlight w:val="none"/>
        </w:rPr>
        <w:t xml:space="preserve"> </w:t>
      </w:r>
      <w:r>
        <w:rPr>
          <w:rFonts w:hint="eastAsia" w:ascii="仿宋_GB2312" w:hAnsi="仿宋_GB2312" w:eastAsia="仿宋_GB2312" w:cs="仿宋_GB2312"/>
          <w:b/>
          <w:bCs/>
          <w:sz w:val="28"/>
          <w:szCs w:val="28"/>
          <w:highlight w:val="none"/>
        </w:rPr>
        <w:t>项目组织</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1.乙方应于本合同签署生效后5个工作日内与甲方沟通项目计划及工作节点安排。</w:t>
      </w:r>
    </w:p>
    <w:p>
      <w:pPr>
        <w:pStyle w:val="23"/>
        <w:spacing w:line="56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t>.乙方应在合同签订之日起5个工作日内组建项目团队，该团队人员应具备</w:t>
      </w:r>
      <w:r>
        <w:rPr>
          <w:rFonts w:hint="eastAsia" w:ascii="仿宋_GB2312" w:hAnsi="仿宋_GB2312" w:eastAsia="仿宋_GB2312" w:cs="仿宋_GB2312"/>
          <w:sz w:val="28"/>
          <w:szCs w:val="28"/>
          <w:highlight w:val="none"/>
          <w:lang w:val="en-US" w:eastAsia="zh-CN"/>
        </w:rPr>
        <w:t>完成“比选公告”中2.4比选内容中相关</w:t>
      </w:r>
      <w:r>
        <w:rPr>
          <w:rFonts w:hint="eastAsia" w:ascii="仿宋_GB2312" w:hAnsi="仿宋_GB2312" w:eastAsia="仿宋_GB2312" w:cs="仿宋_GB2312"/>
          <w:sz w:val="28"/>
          <w:szCs w:val="28"/>
          <w:highlight w:val="none"/>
        </w:rPr>
        <w:t>工作</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胜任能力。若甲方发现乙方项目组人员不能胜任工作，乙方应在收到甲方书面通知之日起5个工作日内更换能胜任本项目工作的人员，如未按期更换的，乙方须向甲方支付违约金人民币</w:t>
      </w:r>
      <w:r>
        <w:rPr>
          <w:rFonts w:ascii="仿宋_GB2312" w:hAnsi="仿宋_GB2312" w:eastAsia="仿宋_GB2312" w:cs="仿宋_GB2312"/>
          <w:sz w:val="28"/>
          <w:szCs w:val="28"/>
          <w:highlight w:val="none"/>
        </w:rPr>
        <w:t>50</w:t>
      </w:r>
      <w:r>
        <w:rPr>
          <w:rFonts w:hint="eastAsia" w:ascii="仿宋_GB2312" w:hAnsi="仿宋_GB2312" w:eastAsia="仿宋_GB2312" w:cs="仿宋_GB2312"/>
          <w:sz w:val="28"/>
          <w:szCs w:val="28"/>
          <w:highlight w:val="none"/>
        </w:rPr>
        <w:t>000元。</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第五条 甲方的权利和义务</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1.为保证服务项目工作的顺利进展，甲方指定专人负责联络乙方，负责项目对接、协调事宜。</w:t>
      </w:r>
    </w:p>
    <w:p>
      <w:pPr>
        <w:pStyle w:val="23"/>
        <w:spacing w:line="560" w:lineRule="exact"/>
        <w:ind w:left="560"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2.按双方约定及时对乙方提交项目成果进行审核。</w:t>
      </w:r>
    </w:p>
    <w:p>
      <w:pPr>
        <w:pStyle w:val="23"/>
        <w:spacing w:line="56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.为乙方提供因咨询工作所需的相关数据、资料和文件，并保证它们的及时性、真实性和完整性。</w:t>
      </w:r>
    </w:p>
    <w:p>
      <w:pPr>
        <w:spacing w:line="560" w:lineRule="exact"/>
        <w:ind w:firstLine="560" w:firstLineChars="20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rPr>
        <w:t>.按合同约定按时向乙方支付咨询服务费。</w:t>
      </w:r>
    </w:p>
    <w:p>
      <w:pPr>
        <w:spacing w:line="560" w:lineRule="exact"/>
        <w:ind w:left="556"/>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rPr>
        <w:t>.甲方协助提供乙方工作所必需的办公场所。</w:t>
      </w:r>
    </w:p>
    <w:p>
      <w:pPr>
        <w:spacing w:line="560" w:lineRule="exact"/>
        <w:ind w:left="556"/>
        <w:rPr>
          <w:rFonts w:ascii="仿宋_GB2312" w:hAnsi="仿宋_GB2312" w:eastAsia="仿宋_GB2312" w:cs="仿宋_GB2312"/>
          <w:highlight w:val="none"/>
        </w:rPr>
      </w:pPr>
      <w:r>
        <w:rPr>
          <w:rFonts w:ascii="仿宋_GB2312" w:hAnsi="仿宋_GB2312" w:eastAsia="仿宋_GB2312" w:cs="仿宋_GB2312"/>
          <w:sz w:val="28"/>
          <w:szCs w:val="28"/>
          <w:highlight w:val="none"/>
        </w:rPr>
        <w:t>6.甲方有权对乙方提交的工作成果提出修改意见。</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第六条 乙方的权利和义务</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1.为保证服务项目工作的顺利进展，乙方应在约定时间内组建项目组，如需调整项目组成员应经过甲方认可。项目组负责人或其指定的项目组主要成员作为</w:t>
      </w:r>
      <w:r>
        <w:rPr>
          <w:rFonts w:ascii="仿宋_GB2312" w:hAnsi="仿宋_GB2312" w:eastAsia="仿宋_GB2312" w:cs="仿宋_GB2312"/>
          <w:sz w:val="28"/>
          <w:szCs w:val="28"/>
          <w:highlight w:val="none"/>
        </w:rPr>
        <w:t>乙</w:t>
      </w:r>
      <w:r>
        <w:rPr>
          <w:rFonts w:hint="eastAsia" w:ascii="仿宋_GB2312" w:hAnsi="仿宋_GB2312" w:eastAsia="仿宋_GB2312" w:cs="仿宋_GB2312"/>
          <w:sz w:val="28"/>
          <w:szCs w:val="28"/>
          <w:highlight w:val="none"/>
        </w:rPr>
        <w:t>方在本项目的代表，负责与</w:t>
      </w:r>
      <w:r>
        <w:rPr>
          <w:rFonts w:ascii="仿宋_GB2312" w:hAnsi="仿宋_GB2312" w:eastAsia="仿宋_GB2312" w:cs="仿宋_GB2312"/>
          <w:sz w:val="28"/>
          <w:szCs w:val="28"/>
          <w:highlight w:val="none"/>
        </w:rPr>
        <w:t>甲</w:t>
      </w:r>
      <w:r>
        <w:rPr>
          <w:rFonts w:hint="eastAsia" w:ascii="仿宋_GB2312" w:hAnsi="仿宋_GB2312" w:eastAsia="仿宋_GB2312" w:cs="仿宋_GB2312"/>
          <w:sz w:val="28"/>
          <w:szCs w:val="28"/>
          <w:highlight w:val="none"/>
        </w:rPr>
        <w:t>方沟通</w:t>
      </w:r>
      <w:r>
        <w:rPr>
          <w:rFonts w:ascii="仿宋_GB2312" w:hAnsi="仿宋_GB2312" w:eastAsia="仿宋_GB2312" w:cs="仿宋_GB2312"/>
          <w:sz w:val="28"/>
          <w:szCs w:val="28"/>
          <w:highlight w:val="none"/>
        </w:rPr>
        <w:t>对接事宜</w:t>
      </w:r>
      <w:r>
        <w:rPr>
          <w:rFonts w:hint="eastAsia" w:ascii="仿宋_GB2312" w:hAnsi="仿宋_GB2312" w:eastAsia="仿宋_GB2312" w:cs="仿宋_GB2312"/>
          <w:sz w:val="28"/>
          <w:szCs w:val="28"/>
          <w:highlight w:val="none"/>
        </w:rPr>
        <w:t>，</w:t>
      </w:r>
      <w:r>
        <w:rPr>
          <w:rFonts w:ascii="仿宋_GB2312" w:hAnsi="仿宋_GB2312" w:eastAsia="仿宋_GB2312" w:cs="仿宋_GB2312"/>
          <w:sz w:val="28"/>
          <w:szCs w:val="28"/>
          <w:highlight w:val="none"/>
        </w:rPr>
        <w:t>接收甲方提供的资料</w:t>
      </w:r>
      <w:r>
        <w:rPr>
          <w:rFonts w:hint="eastAsia" w:ascii="仿宋_GB2312" w:hAnsi="仿宋_GB2312" w:eastAsia="仿宋_GB2312" w:cs="仿宋_GB2312"/>
          <w:sz w:val="28"/>
          <w:szCs w:val="28"/>
          <w:highlight w:val="none"/>
        </w:rPr>
        <w:t>。未经甲方同意，乙方不得擅自更换项目组负责人及主要成员。</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2.乙方应按照合同约定，根据经甲方认可的项目计划及工作节点保质保量完成服务范围所规定的工作，按时向甲方提交合同要求的各种咨询服务成果及培训资料。</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3.乙方应及时向甲方通报项目的进展情况，对甲方提出的项目直接相关的要求和意见，乙方应在</w:t>
      </w:r>
      <w:r>
        <w:rPr>
          <w:rFonts w:ascii="仿宋_GB2312" w:hAnsi="仿宋_GB2312" w:eastAsia="仿宋_GB2312" w:cs="仿宋_GB2312"/>
          <w:sz w:val="28"/>
          <w:szCs w:val="28"/>
          <w:highlight w:val="none"/>
        </w:rPr>
        <w:t>24</w:t>
      </w:r>
      <w:r>
        <w:rPr>
          <w:rFonts w:hint="eastAsia" w:ascii="仿宋_GB2312" w:hAnsi="仿宋_GB2312" w:eastAsia="仿宋_GB2312" w:cs="仿宋_GB2312"/>
          <w:sz w:val="28"/>
          <w:szCs w:val="28"/>
          <w:highlight w:val="none"/>
        </w:rPr>
        <w:t>小时内响应，并提出切实可行的书面意见及解决措施。</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4.乙方应记录项目运作过程中的所有工作内容，并在甲方需要的时候随时提供相应资料。</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5.乙方根据项目推进及甲方需求，免费进行相关培训和宣讲。</w:t>
      </w:r>
      <w:r>
        <w:rPr>
          <w:rFonts w:ascii="仿宋_GB2312" w:hAnsi="仿宋_GB2312" w:eastAsia="仿宋_GB2312" w:cs="仿宋_GB2312"/>
          <w:sz w:val="28"/>
          <w:szCs w:val="28"/>
          <w:highlight w:val="none"/>
        </w:rPr>
        <w:t>培训的时间和地点，按甲方要求进行安排。</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6.乙方自行承担约定服务期内的交通往返费和食宿费以及承担乙方人员在提供服务过程中的人身、财产安全风险。</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7.乙方应独立开展合同约定服务内容，未经甲方书面同意，乙方不得将本合同项下权利义务转让给任何第三方履行。</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8.乙方提交的工作成果未经甲方审核通过，乙方应当负责整改直至通过甲方审核。</w:t>
      </w:r>
    </w:p>
    <w:p>
      <w:pPr>
        <w:pStyle w:val="23"/>
        <w:spacing w:line="560" w:lineRule="exact"/>
        <w:ind w:firstLine="56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9. 项目实施过程中，乙方应当及时向甲方反馈项目进展，并根据要求，参与甲方所组织的项目沟通会、讨论会、汇报会等项目相关会议。</w:t>
      </w:r>
    </w:p>
    <w:p>
      <w:pPr>
        <w:pStyle w:val="23"/>
        <w:spacing w:line="560" w:lineRule="exact"/>
        <w:ind w:firstLine="56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10.项目组成员如下：</w:t>
      </w:r>
    </w:p>
    <w:p>
      <w:pPr>
        <w:pStyle w:val="23"/>
        <w:spacing w:line="560" w:lineRule="exact"/>
        <w:ind w:firstLine="560"/>
        <w:rPr>
          <w:rFonts w:hint="eastAsia"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lang w:val="en-US" w:eastAsia="zh-CN"/>
        </w:rPr>
        <w:t>项目负责人：</w:t>
      </w:r>
      <w:r>
        <w:rPr>
          <w:rFonts w:ascii="仿宋_GB2312" w:hAnsi="仿宋_GB2312" w:eastAsia="仿宋_GB2312" w:cs="仿宋_GB2312"/>
          <w:sz w:val="28"/>
          <w:szCs w:val="28"/>
          <w:highlight w:val="none"/>
          <w:u w:val="single"/>
        </w:rPr>
        <w:t xml:space="preserve">       </w:t>
      </w:r>
    </w:p>
    <w:p>
      <w:pPr>
        <w:pStyle w:val="23"/>
        <w:spacing w:line="560" w:lineRule="exact"/>
        <w:ind w:firstLine="560"/>
        <w:rPr>
          <w:rFonts w:hint="default" w:ascii="仿宋_GB2312" w:hAnsi="仿宋_GB2312" w:eastAsia="仿宋_GB2312" w:cs="仿宋_GB2312"/>
          <w:sz w:val="28"/>
          <w:szCs w:val="28"/>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项目成员：                                     </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第七条 咨询服务成果的交付与验收</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1.乙方完成每阶段工作后向甲方交付该阶段工作成果，成果的提交形式为书面文件或电子文件，具体以甲方要求为准。</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2.甲方针对乙方提交的每阶段工作成果进行审核并提出优化意见，乙方应在收到甲方优化意见后3个工作日内进行修改优化，并再次提交甲方审核，直至通过甲方审核。若甲方在收到乙方提交的阶段工作成果</w:t>
      </w:r>
      <w:r>
        <w:rPr>
          <w:rFonts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rPr>
        <w:t xml:space="preserve">个工作日内未反馈审核意见的，默认为甲方已审核通过。 </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3.跟踪服务期间，乙方须辅助甲方对项目成果运行过程中遇到的问题进行分析，并提出优化建议。</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第八条 咨询服务费用及付款安排</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1.本项目的咨询服务费用总额为</w:t>
      </w:r>
      <w:r>
        <w:rPr>
          <w:rFonts w:hint="eastAsia" w:eastAsia="仿宋_GB2312" w:cs="Calibri"/>
          <w:sz w:val="28"/>
          <w:szCs w:val="28"/>
          <w:highlight w:val="none"/>
          <w:u w:val="single"/>
        </w:rPr>
        <w:t>¥</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highlight w:val="none"/>
        </w:rPr>
        <w:t>）服务费用包括本合同项下项目成果编制费用、文本制作费用、</w:t>
      </w:r>
      <w:r>
        <w:rPr>
          <w:rFonts w:ascii="仿宋_GB2312" w:hAnsi="仿宋_GB2312" w:eastAsia="仿宋_GB2312" w:cs="仿宋_GB2312"/>
          <w:sz w:val="28"/>
          <w:szCs w:val="28"/>
          <w:highlight w:val="none"/>
        </w:rPr>
        <w:t>培训费、资料费、</w:t>
      </w:r>
      <w:r>
        <w:rPr>
          <w:rFonts w:hint="eastAsia" w:ascii="仿宋_GB2312" w:hAnsi="仿宋_GB2312" w:eastAsia="仿宋_GB2312" w:cs="仿宋_GB2312"/>
          <w:sz w:val="28"/>
          <w:szCs w:val="28"/>
          <w:highlight w:val="none"/>
        </w:rPr>
        <w:t>乙方应交纳的一切税款，以及其他与本次咨询服务相关的所有费用。</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2.付款进度安排</w:t>
      </w:r>
    </w:p>
    <w:p>
      <w:pPr>
        <w:pStyle w:val="23"/>
        <w:spacing w:line="56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2.1</w:t>
      </w:r>
      <w:r>
        <w:rPr>
          <w:rFonts w:hint="eastAsia" w:ascii="仿宋_GB2312" w:hAnsi="仿宋_GB2312" w:eastAsia="仿宋_GB2312" w:cs="仿宋_GB2312"/>
          <w:sz w:val="28"/>
          <w:szCs w:val="28"/>
          <w:highlight w:val="none"/>
        </w:rPr>
        <w:t>第一次付款：签订本合同后</w:t>
      </w:r>
      <w:r>
        <w:rPr>
          <w:rFonts w:ascii="仿宋_GB2312" w:hAnsi="仿宋_GB2312" w:eastAsia="仿宋_GB2312" w:cs="仿宋_GB2312"/>
          <w:sz w:val="28"/>
          <w:szCs w:val="28"/>
          <w:highlight w:val="none"/>
        </w:rPr>
        <w:t>5个工作日内，甲方支付乙方合同</w:t>
      </w:r>
      <w:r>
        <w:rPr>
          <w:rFonts w:hint="eastAsia" w:ascii="仿宋_GB2312" w:hAnsi="仿宋_GB2312" w:eastAsia="仿宋_GB2312" w:cs="仿宋_GB2312"/>
          <w:sz w:val="28"/>
          <w:szCs w:val="28"/>
          <w:highlight w:val="none"/>
        </w:rPr>
        <w:t>约定的咨询服务费用总价的40</w:t>
      </w:r>
      <w:r>
        <w:rPr>
          <w:rFonts w:ascii="仿宋_GB2312" w:hAnsi="仿宋_GB2312" w:eastAsia="仿宋_GB2312" w:cs="仿宋_GB2312"/>
          <w:sz w:val="28"/>
          <w:szCs w:val="28"/>
          <w:highlight w:val="none"/>
        </w:rPr>
        <w:t>%，计</w:t>
      </w:r>
      <w:r>
        <w:rPr>
          <w:rFonts w:hint="eastAsia" w:eastAsia="仿宋_GB2312" w:cs="Calibri"/>
          <w:sz w:val="28"/>
          <w:szCs w:val="28"/>
          <w:highlight w:val="none"/>
          <w:u w:val="single"/>
        </w:rPr>
        <w:t>¥</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highlight w:val="none"/>
        </w:rPr>
        <w:t>）。</w:t>
      </w:r>
    </w:p>
    <w:p>
      <w:pPr>
        <w:pStyle w:val="23"/>
        <w:spacing w:line="56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2.2</w:t>
      </w:r>
      <w:r>
        <w:rPr>
          <w:rFonts w:hint="eastAsia" w:ascii="仿宋_GB2312" w:hAnsi="仿宋_GB2312" w:eastAsia="仿宋_GB2312" w:cs="仿宋_GB2312"/>
          <w:sz w:val="28"/>
          <w:szCs w:val="28"/>
          <w:highlight w:val="none"/>
        </w:rPr>
        <w:t>第二次付款：完成项目约定中各项成果初稿，经甲方</w:t>
      </w:r>
      <w:r>
        <w:rPr>
          <w:rFonts w:hint="eastAsia" w:ascii="仿宋_GB2312" w:hAnsi="仿宋_GB2312" w:eastAsia="仿宋_GB2312" w:cs="仿宋_GB2312"/>
          <w:sz w:val="28"/>
          <w:szCs w:val="28"/>
          <w:highlight w:val="none"/>
          <w:lang w:eastAsia="zh-Hans"/>
        </w:rPr>
        <w:t>认可</w:t>
      </w:r>
      <w:r>
        <w:rPr>
          <w:rFonts w:hint="eastAsia" w:ascii="仿宋_GB2312" w:hAnsi="仿宋_GB2312" w:eastAsia="仿宋_GB2312" w:cs="仿宋_GB2312"/>
          <w:sz w:val="28"/>
          <w:szCs w:val="28"/>
          <w:highlight w:val="none"/>
        </w:rPr>
        <w:t>后，支付合同约定的咨询服务费用总价的</w:t>
      </w:r>
      <w:r>
        <w:rPr>
          <w:rFonts w:ascii="仿宋_GB2312" w:hAnsi="仿宋_GB2312" w:eastAsia="仿宋_GB2312" w:cs="仿宋_GB2312"/>
          <w:sz w:val="28"/>
          <w:szCs w:val="28"/>
          <w:highlight w:val="none"/>
        </w:rPr>
        <w:t>50%，计</w:t>
      </w:r>
      <w:r>
        <w:rPr>
          <w:rFonts w:hint="eastAsia" w:eastAsia="仿宋_GB2312" w:cs="Calibri"/>
          <w:sz w:val="28"/>
          <w:szCs w:val="28"/>
          <w:highlight w:val="none"/>
          <w:u w:val="single"/>
        </w:rPr>
        <w:t>¥</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highlight w:val="none"/>
        </w:rPr>
        <w:t>）。</w:t>
      </w:r>
    </w:p>
    <w:p>
      <w:pPr>
        <w:pStyle w:val="23"/>
        <w:spacing w:line="560" w:lineRule="exact"/>
        <w:ind w:firstLine="560"/>
        <w:rPr>
          <w:rFonts w:ascii="仿宋_GB2312" w:hAnsi="仿宋_GB2312" w:eastAsia="仿宋_GB2312" w:cs="仿宋_GB2312"/>
          <w:sz w:val="28"/>
          <w:szCs w:val="28"/>
          <w:highlight w:val="none"/>
        </w:rPr>
      </w:pPr>
      <w:r>
        <w:rPr>
          <w:rFonts w:ascii="仿宋_GB2312" w:hAnsi="仿宋_GB2312" w:eastAsia="仿宋_GB2312" w:cs="仿宋_GB2312"/>
          <w:sz w:val="28"/>
          <w:szCs w:val="28"/>
          <w:highlight w:val="none"/>
        </w:rPr>
        <w:t>2.3</w:t>
      </w:r>
      <w:r>
        <w:rPr>
          <w:rFonts w:hint="eastAsia" w:ascii="仿宋_GB2312" w:hAnsi="仿宋_GB2312" w:eastAsia="仿宋_GB2312" w:cs="仿宋_GB2312"/>
          <w:sz w:val="28"/>
          <w:szCs w:val="28"/>
          <w:highlight w:val="none"/>
        </w:rPr>
        <w:t>第三次付款：完成成果修订、验收和项目内容培训宣贯后，支付合同约定的咨询服务费用总价的</w:t>
      </w:r>
      <w:r>
        <w:rPr>
          <w:rFonts w:ascii="仿宋_GB2312" w:hAnsi="仿宋_GB2312" w:eastAsia="仿宋_GB2312" w:cs="仿宋_GB2312"/>
          <w:sz w:val="28"/>
          <w:szCs w:val="28"/>
          <w:highlight w:val="none"/>
        </w:rPr>
        <w:t>10%，计</w:t>
      </w:r>
      <w:r>
        <w:rPr>
          <w:rFonts w:hint="eastAsia" w:eastAsia="仿宋_GB2312" w:cs="Calibri"/>
          <w:sz w:val="28"/>
          <w:szCs w:val="28"/>
          <w:highlight w:val="none"/>
          <w:u w:val="single"/>
        </w:rPr>
        <w:t>¥</w:t>
      </w:r>
      <w:r>
        <w:rPr>
          <w:rFonts w:eastAsia="仿宋_GB2312" w:cs="Calibri"/>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元（大写：</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元</w:t>
      </w:r>
      <w:r>
        <w:rPr>
          <w:rFonts w:hint="eastAsia" w:ascii="仿宋_GB2312" w:hAnsi="仿宋_GB2312" w:eastAsia="仿宋_GB2312" w:cs="仿宋_GB2312"/>
          <w:sz w:val="28"/>
          <w:szCs w:val="28"/>
          <w:highlight w:val="none"/>
        </w:rPr>
        <w:t>）。</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3.乙方在各阶段工作经甲方审核通过后向甲方开具符合甲方财务要求的增值税专用发票，甲方收到发票10个工作日内向乙方支付相应款项</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若乙方逾期开具发票或开具虚假发票，</w:t>
      </w:r>
      <w:r>
        <w:rPr>
          <w:rFonts w:ascii="仿宋_GB2312" w:hAnsi="仿宋_GB2312" w:eastAsia="仿宋_GB2312" w:cs="仿宋_GB2312"/>
          <w:sz w:val="28"/>
          <w:szCs w:val="28"/>
          <w:highlight w:val="none"/>
        </w:rPr>
        <w:t>甲方有权拒绝付款也不因此承担任何逾期付款责任</w:t>
      </w:r>
      <w:r>
        <w:rPr>
          <w:rFonts w:hint="eastAsia" w:ascii="仿宋_GB2312" w:hAnsi="仿宋_GB2312" w:eastAsia="仿宋_GB2312" w:cs="仿宋_GB2312"/>
          <w:sz w:val="28"/>
          <w:szCs w:val="28"/>
          <w:highlight w:val="none"/>
        </w:rPr>
        <w:t>。</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4.乙方提供增值税专用发票，开票名目为咨询服务费。</w:t>
      </w:r>
    </w:p>
    <w:p>
      <w:pPr>
        <w:pStyle w:val="23"/>
        <w:spacing w:line="560" w:lineRule="exact"/>
        <w:ind w:left="567"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5.乙方指定收款账户</w:t>
      </w:r>
    </w:p>
    <w:p>
      <w:pPr>
        <w:spacing w:line="560" w:lineRule="exact"/>
        <w:ind w:left="683" w:leftChars="201" w:firstLine="558"/>
        <w:rPr>
          <w:rFonts w:ascii="Calibri" w:hAnsi="Calibri" w:eastAsia="仿宋_GB2312" w:cs="Calibri"/>
          <w:sz w:val="28"/>
          <w:szCs w:val="28"/>
          <w:highlight w:val="none"/>
        </w:rPr>
      </w:pPr>
      <w:r>
        <w:rPr>
          <w:rFonts w:eastAsia="仿宋_GB2312"/>
          <w:sz w:val="28"/>
          <w:szCs w:val="28"/>
          <w:highlight w:val="none"/>
        </w:rPr>
        <w:t>开户单位：</w:t>
      </w:r>
      <w:r>
        <w:rPr>
          <w:rFonts w:ascii="Calibri" w:hAnsi="Calibri" w:eastAsia="仿宋_GB2312" w:cs="Calibri"/>
          <w:sz w:val="28"/>
          <w:szCs w:val="28"/>
          <w:highlight w:val="none"/>
        </w:rPr>
        <w:t xml:space="preserve"> </w:t>
      </w:r>
    </w:p>
    <w:p>
      <w:pPr>
        <w:spacing w:line="560" w:lineRule="exact"/>
        <w:ind w:left="683" w:leftChars="201" w:firstLine="558"/>
        <w:rPr>
          <w:rFonts w:eastAsia="仿宋_GB2312"/>
          <w:sz w:val="28"/>
          <w:szCs w:val="28"/>
          <w:highlight w:val="none"/>
        </w:rPr>
      </w:pPr>
      <w:r>
        <w:rPr>
          <w:rFonts w:eastAsia="仿宋_GB2312"/>
          <w:sz w:val="28"/>
          <w:szCs w:val="28"/>
          <w:highlight w:val="none"/>
        </w:rPr>
        <w:t>开户银行：</w:t>
      </w:r>
      <w:r>
        <w:rPr>
          <w:rFonts w:ascii="Calibri" w:hAnsi="Calibri" w:eastAsia="仿宋_GB2312" w:cs="Calibri"/>
          <w:sz w:val="28"/>
          <w:szCs w:val="28"/>
          <w:highlight w:val="none"/>
        </w:rPr>
        <w:t xml:space="preserve"> </w:t>
      </w:r>
    </w:p>
    <w:p>
      <w:pPr>
        <w:spacing w:line="560" w:lineRule="exact"/>
        <w:ind w:left="683" w:leftChars="201" w:firstLine="558"/>
        <w:rPr>
          <w:rFonts w:eastAsia="仿宋_GB2312"/>
          <w:sz w:val="28"/>
          <w:szCs w:val="28"/>
          <w:highlight w:val="none"/>
        </w:rPr>
      </w:pPr>
      <w:r>
        <w:rPr>
          <w:rFonts w:eastAsia="仿宋_GB2312"/>
          <w:sz w:val="28"/>
          <w:szCs w:val="28"/>
          <w:highlight w:val="none"/>
        </w:rPr>
        <w:t xml:space="preserve">银行账号： </w:t>
      </w:r>
    </w:p>
    <w:p>
      <w:pPr>
        <w:pStyle w:val="2"/>
        <w:numPr>
          <w:ilvl w:val="0"/>
          <w:numId w:val="3"/>
        </w:numPr>
        <w:rPr>
          <w:rFonts w:eastAsia="仿宋_GB2312"/>
          <w:sz w:val="28"/>
          <w:szCs w:val="28"/>
          <w:highlight w:val="none"/>
        </w:rPr>
      </w:pPr>
      <w:r>
        <w:rPr>
          <w:rFonts w:hint="eastAsia" w:eastAsia="仿宋_GB2312"/>
          <w:sz w:val="28"/>
          <w:szCs w:val="28"/>
          <w:highlight w:val="none"/>
        </w:rPr>
        <w:t>甲方开票信息</w:t>
      </w:r>
    </w:p>
    <w:p>
      <w:pPr>
        <w:pStyle w:val="2"/>
        <w:numPr>
          <w:ilvl w:val="255"/>
          <w:numId w:val="0"/>
        </w:numPr>
        <w:ind w:left="490"/>
        <w:rPr>
          <w:rFonts w:eastAsia="仿宋_GB2312"/>
          <w:sz w:val="28"/>
          <w:szCs w:val="28"/>
          <w:highlight w:val="none"/>
        </w:rPr>
      </w:pPr>
      <w:r>
        <w:rPr>
          <w:rFonts w:hint="eastAsia" w:eastAsia="仿宋_GB2312"/>
          <w:sz w:val="28"/>
          <w:szCs w:val="28"/>
          <w:highlight w:val="none"/>
        </w:rPr>
        <w:t xml:space="preserve">      单位名称：</w:t>
      </w:r>
    </w:p>
    <w:p>
      <w:pPr>
        <w:pStyle w:val="2"/>
        <w:numPr>
          <w:ilvl w:val="255"/>
          <w:numId w:val="0"/>
        </w:numPr>
        <w:ind w:left="490"/>
        <w:rPr>
          <w:rFonts w:eastAsia="仿宋_GB2312"/>
          <w:sz w:val="28"/>
          <w:szCs w:val="28"/>
          <w:highlight w:val="none"/>
        </w:rPr>
      </w:pPr>
      <w:r>
        <w:rPr>
          <w:rFonts w:hint="eastAsia" w:eastAsia="仿宋_GB2312"/>
          <w:sz w:val="28"/>
          <w:szCs w:val="28"/>
          <w:highlight w:val="none"/>
        </w:rPr>
        <w:t xml:space="preserve">       纳税人识别号:</w:t>
      </w:r>
    </w:p>
    <w:p>
      <w:pPr>
        <w:pStyle w:val="2"/>
        <w:numPr>
          <w:ilvl w:val="255"/>
          <w:numId w:val="0"/>
        </w:numPr>
        <w:ind w:left="490"/>
        <w:rPr>
          <w:rFonts w:eastAsia="仿宋_GB2312"/>
          <w:sz w:val="28"/>
          <w:szCs w:val="28"/>
          <w:highlight w:val="none"/>
        </w:rPr>
      </w:pPr>
      <w:r>
        <w:rPr>
          <w:rFonts w:hint="eastAsia" w:eastAsia="仿宋_GB2312"/>
          <w:sz w:val="28"/>
          <w:szCs w:val="28"/>
          <w:highlight w:val="none"/>
        </w:rPr>
        <w:t xml:space="preserve">       地址、电话：</w:t>
      </w:r>
    </w:p>
    <w:p>
      <w:pPr>
        <w:pStyle w:val="2"/>
        <w:numPr>
          <w:ilvl w:val="255"/>
          <w:numId w:val="0"/>
        </w:numPr>
        <w:ind w:left="490"/>
        <w:rPr>
          <w:rFonts w:eastAsia="仿宋_GB2312"/>
          <w:sz w:val="28"/>
          <w:szCs w:val="28"/>
          <w:highlight w:val="none"/>
        </w:rPr>
      </w:pPr>
      <w:r>
        <w:rPr>
          <w:rFonts w:hint="eastAsia" w:eastAsia="仿宋_GB2312"/>
          <w:sz w:val="28"/>
          <w:szCs w:val="28"/>
          <w:highlight w:val="none"/>
        </w:rPr>
        <w:t xml:space="preserve">       开户行及账号：</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第九条 保密及知识产权约定</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1.乙方为甲方提供咨询服务而提交的咨询成果，甲方拥有完全</w:t>
      </w:r>
      <w:r>
        <w:rPr>
          <w:rFonts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rPr>
        <w:t>著作权、所有权、使用权和支配权，乙方具有咨询成果的署名权。</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甲、</w:t>
      </w:r>
      <w:r>
        <w:rPr>
          <w:rFonts w:hint="eastAsia" w:ascii="仿宋_GB2312" w:hAnsi="仿宋_GB2312" w:eastAsia="仿宋_GB2312" w:cs="仿宋_GB2312"/>
          <w:sz w:val="28"/>
          <w:szCs w:val="28"/>
          <w:highlight w:val="none"/>
        </w:rPr>
        <w:t>乙</w:t>
      </w:r>
      <w:r>
        <w:rPr>
          <w:rFonts w:ascii="仿宋_GB2312" w:hAnsi="仿宋_GB2312" w:eastAsia="仿宋_GB2312" w:cs="仿宋_GB2312"/>
          <w:sz w:val="28"/>
          <w:szCs w:val="28"/>
          <w:highlight w:val="none"/>
        </w:rPr>
        <w:t>双</w:t>
      </w:r>
      <w:r>
        <w:rPr>
          <w:rFonts w:hint="eastAsia" w:ascii="仿宋_GB2312" w:hAnsi="仿宋_GB2312" w:eastAsia="仿宋_GB2312" w:cs="仿宋_GB2312"/>
          <w:sz w:val="28"/>
          <w:szCs w:val="28"/>
          <w:highlight w:val="none"/>
        </w:rPr>
        <w:t>方为签订和履行本合同提供的原知识产权归</w:t>
      </w:r>
      <w:r>
        <w:rPr>
          <w:rFonts w:ascii="仿宋_GB2312" w:hAnsi="仿宋_GB2312" w:eastAsia="仿宋_GB2312" w:cs="仿宋_GB2312"/>
          <w:sz w:val="28"/>
          <w:szCs w:val="28"/>
          <w:highlight w:val="none"/>
        </w:rPr>
        <w:t>各自</w:t>
      </w:r>
      <w:r>
        <w:rPr>
          <w:rFonts w:hint="eastAsia" w:ascii="仿宋_GB2312" w:hAnsi="仿宋_GB2312" w:eastAsia="仿宋_GB2312" w:cs="仿宋_GB2312"/>
          <w:sz w:val="28"/>
          <w:szCs w:val="28"/>
          <w:highlight w:val="none"/>
        </w:rPr>
        <w:t>方所有的文件资料仍归</w:t>
      </w:r>
      <w:r>
        <w:rPr>
          <w:rFonts w:ascii="仿宋_GB2312" w:hAnsi="仿宋_GB2312" w:eastAsia="仿宋_GB2312" w:cs="仿宋_GB2312"/>
          <w:sz w:val="28"/>
          <w:szCs w:val="28"/>
          <w:highlight w:val="none"/>
        </w:rPr>
        <w:t>各自</w:t>
      </w:r>
      <w:r>
        <w:rPr>
          <w:rFonts w:hint="eastAsia" w:ascii="仿宋_GB2312" w:hAnsi="仿宋_GB2312" w:eastAsia="仿宋_GB2312" w:cs="仿宋_GB2312"/>
          <w:sz w:val="28"/>
          <w:szCs w:val="28"/>
          <w:highlight w:val="none"/>
        </w:rPr>
        <w:t>所有，</w:t>
      </w:r>
      <w:r>
        <w:rPr>
          <w:rFonts w:ascii="仿宋_GB2312" w:hAnsi="仿宋_GB2312" w:eastAsia="仿宋_GB2312" w:cs="仿宋_GB2312"/>
          <w:sz w:val="28"/>
          <w:szCs w:val="28"/>
          <w:highlight w:val="none"/>
        </w:rPr>
        <w:t>双方</w:t>
      </w:r>
      <w:r>
        <w:rPr>
          <w:rFonts w:hint="eastAsia" w:ascii="仿宋_GB2312" w:hAnsi="仿宋_GB2312" w:eastAsia="仿宋_GB2312" w:cs="仿宋_GB2312"/>
          <w:sz w:val="28"/>
          <w:szCs w:val="28"/>
          <w:highlight w:val="none"/>
        </w:rPr>
        <w:t>同意</w:t>
      </w:r>
      <w:r>
        <w:rPr>
          <w:rFonts w:ascii="仿宋_GB2312" w:hAnsi="仿宋_GB2312" w:eastAsia="仿宋_GB2312" w:cs="仿宋_GB2312"/>
          <w:sz w:val="28"/>
          <w:szCs w:val="28"/>
          <w:highlight w:val="none"/>
        </w:rPr>
        <w:t>对</w:t>
      </w:r>
      <w:r>
        <w:rPr>
          <w:rFonts w:hint="eastAsia" w:ascii="仿宋_GB2312" w:hAnsi="仿宋_GB2312" w:eastAsia="仿宋_GB2312" w:cs="仿宋_GB2312"/>
          <w:sz w:val="28"/>
          <w:szCs w:val="28"/>
          <w:highlight w:val="none"/>
        </w:rPr>
        <w:t>方</w:t>
      </w:r>
      <w:r>
        <w:rPr>
          <w:rFonts w:ascii="仿宋_GB2312" w:hAnsi="仿宋_GB2312" w:eastAsia="仿宋_GB2312" w:cs="仿宋_GB2312"/>
          <w:sz w:val="28"/>
          <w:szCs w:val="28"/>
          <w:highlight w:val="none"/>
        </w:rPr>
        <w:t>在本项目范围内</w:t>
      </w:r>
      <w:r>
        <w:rPr>
          <w:rFonts w:hint="eastAsia" w:ascii="仿宋_GB2312" w:hAnsi="仿宋_GB2312" w:eastAsia="仿宋_GB2312" w:cs="仿宋_GB2312"/>
          <w:sz w:val="28"/>
          <w:szCs w:val="28"/>
          <w:highlight w:val="none"/>
        </w:rPr>
        <w:t>免费自行使用，但未经</w:t>
      </w:r>
      <w:r>
        <w:rPr>
          <w:rFonts w:ascii="仿宋_GB2312" w:hAnsi="仿宋_GB2312" w:eastAsia="仿宋_GB2312" w:cs="仿宋_GB2312"/>
          <w:sz w:val="28"/>
          <w:szCs w:val="28"/>
          <w:highlight w:val="none"/>
        </w:rPr>
        <w:t>对方</w:t>
      </w:r>
      <w:r>
        <w:rPr>
          <w:rFonts w:hint="eastAsia" w:ascii="仿宋_GB2312" w:hAnsi="仿宋_GB2312" w:eastAsia="仿宋_GB2312" w:cs="仿宋_GB2312"/>
          <w:sz w:val="28"/>
          <w:szCs w:val="28"/>
          <w:highlight w:val="none"/>
        </w:rPr>
        <w:t>许可不得随意转让、赠与或许可他人使用。</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乙方在为甲方提供咨询服务的过程中，所获知的甲方有关信息或资料（包括但不仅限于甲方的财务信息、技术秘密、商业模式、员工信息等），均应严格保密。若因乙方原因造成以上信息泄露并给甲方带来损失，乙方应承担赔偿责任。</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保证，乙方向甲方提供的全部咨询服务成果没有侵犯任何第三方的知识产权及其他合法权益。如甲方因采用乙方提供的咨询服务成果而导致第三方向甲方提起有关侵权的诉讼或索赔的，由乙方承担相应法律责任及费用，并赔偿由此给甲方造成的经济损失。同时乙方应积极采取补救措施，使提供的咨询服务成果不再继续侵犯第三方权益并符合本合同要求。</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第十条 指定联系方式</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双方约定以本合同载明的地址、邮编以及以下联系人作为指定联系方式，如联系方式发生变更，须提前通知对方。</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甲方联系人：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联系电话： </w:t>
      </w:r>
      <w:r>
        <w:rPr>
          <w:rFonts w:ascii="仿宋_GB2312" w:hAnsi="仿宋_GB2312" w:eastAsia="仿宋_GB2312" w:cs="仿宋_GB2312"/>
          <w:sz w:val="28"/>
          <w:szCs w:val="28"/>
          <w:highlight w:val="none"/>
        </w:rPr>
        <w:t xml:space="preserve">     </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邮箱：</w:t>
      </w:r>
      <w:r>
        <w:rPr>
          <w:rFonts w:ascii="仿宋_GB2312" w:hAnsi="仿宋_GB2312" w:eastAsia="仿宋_GB2312" w:cs="仿宋_GB2312"/>
          <w:sz w:val="28"/>
          <w:szCs w:val="28"/>
          <w:highlight w:val="none"/>
        </w:rPr>
        <w:t xml:space="preserve">   </w:t>
      </w:r>
    </w:p>
    <w:p>
      <w:pPr>
        <w:spacing w:line="56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乙方联系人</w:t>
      </w:r>
      <w:r>
        <w:rPr>
          <w:rFonts w:hint="eastAsia" w:ascii="仿宋_GB2312" w:hAnsi="仿宋_GB2312" w:eastAsia="仿宋_GB2312" w:cs="仿宋_GB2312"/>
          <w:spacing w:val="-4"/>
          <w:sz w:val="28"/>
          <w:szCs w:val="28"/>
          <w:highlight w:val="none"/>
        </w:rPr>
        <w:t>：</w:t>
      </w:r>
      <w:r>
        <w:rPr>
          <w:rFonts w:ascii="仿宋_GB2312" w:hAnsi="仿宋_GB2312" w:eastAsia="仿宋_GB2312" w:cs="仿宋_GB2312"/>
          <w:spacing w:val="-4"/>
          <w:sz w:val="28"/>
          <w:szCs w:val="28"/>
          <w:highlight w:val="none"/>
        </w:rPr>
        <w:t xml:space="preserve">   </w:t>
      </w:r>
      <w:r>
        <w:rPr>
          <w:rFonts w:hint="eastAsia" w:ascii="仿宋_GB2312" w:hAnsi="仿宋_GB2312" w:eastAsia="仿宋_GB2312" w:cs="仿宋_GB2312"/>
          <w:spacing w:val="-4"/>
          <w:sz w:val="28"/>
          <w:szCs w:val="28"/>
          <w:highlight w:val="none"/>
        </w:rPr>
        <w:t xml:space="preserve"> </w:t>
      </w:r>
      <w:r>
        <w:rPr>
          <w:rFonts w:ascii="仿宋_GB2312" w:hAnsi="仿宋_GB2312" w:eastAsia="仿宋_GB2312" w:cs="仿宋_GB2312"/>
          <w:spacing w:val="-4"/>
          <w:sz w:val="28"/>
          <w:szCs w:val="28"/>
          <w:highlight w:val="none"/>
        </w:rPr>
        <w:t xml:space="preserve"> </w:t>
      </w:r>
      <w:r>
        <w:rPr>
          <w:rFonts w:hint="eastAsia" w:ascii="仿宋_GB2312" w:hAnsi="仿宋_GB2312" w:eastAsia="仿宋_GB2312" w:cs="仿宋_GB2312"/>
          <w:spacing w:val="-4"/>
          <w:sz w:val="28"/>
          <w:szCs w:val="28"/>
          <w:highlight w:val="none"/>
        </w:rPr>
        <w:t xml:space="preserve"> </w:t>
      </w:r>
      <w:r>
        <w:rPr>
          <w:rFonts w:ascii="仿宋_GB2312" w:hAnsi="仿宋_GB2312" w:eastAsia="仿宋_GB2312" w:cs="仿宋_GB2312"/>
          <w:spacing w:val="-4"/>
          <w:sz w:val="28"/>
          <w:szCs w:val="28"/>
          <w:highlight w:val="none"/>
        </w:rPr>
        <w:t xml:space="preserve">     </w:t>
      </w:r>
      <w:r>
        <w:rPr>
          <w:rFonts w:hint="eastAsia" w:ascii="仿宋_GB2312" w:hAnsi="仿宋_GB2312" w:eastAsia="仿宋_GB2312" w:cs="仿宋_GB2312"/>
          <w:spacing w:val="-4"/>
          <w:sz w:val="28"/>
          <w:szCs w:val="28"/>
          <w:highlight w:val="none"/>
        </w:rPr>
        <w:t xml:space="preserve">    </w:t>
      </w:r>
      <w:r>
        <w:rPr>
          <w:rFonts w:hint="eastAsia" w:ascii="仿宋_GB2312" w:hAnsi="仿宋_GB2312" w:eastAsia="仿宋_GB2312" w:cs="仿宋_GB2312"/>
          <w:sz w:val="28"/>
          <w:szCs w:val="28"/>
          <w:highlight w:val="none"/>
        </w:rPr>
        <w:t xml:space="preserve">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联系电话：</w:t>
      </w:r>
      <w:r>
        <w:rPr>
          <w:rFonts w:ascii="仿宋_GB2312" w:hAnsi="仿宋_GB2312" w:eastAsia="仿宋_GB2312" w:cs="仿宋_GB2312"/>
          <w:sz w:val="28"/>
          <w:szCs w:val="28"/>
          <w:highlight w:val="none"/>
        </w:rPr>
        <w:t xml:space="preserve"> </w:t>
      </w:r>
    </w:p>
    <w:p>
      <w:pPr>
        <w:spacing w:line="560" w:lineRule="exact"/>
        <w:ind w:firstLine="560" w:firstLineChars="200"/>
        <w:rPr>
          <w:rFonts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邮箱：</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第十一条 违约责任</w:t>
      </w:r>
    </w:p>
    <w:p>
      <w:pPr>
        <w:pStyle w:val="23"/>
        <w:spacing w:line="560" w:lineRule="exact"/>
        <w:ind w:firstLine="560"/>
        <w:rPr>
          <w:rFonts w:ascii="仿宋_GB2312" w:hAnsi="仿宋_GB2312" w:eastAsia="仿宋_GB2312" w:cs="仿宋_GB2312"/>
          <w:snapToGrid w:val="0"/>
          <w:sz w:val="28"/>
          <w:szCs w:val="28"/>
          <w:highlight w:val="none"/>
        </w:rPr>
      </w:pPr>
      <w:r>
        <w:rPr>
          <w:rFonts w:hint="eastAsia" w:ascii="仿宋_GB2312" w:hAnsi="仿宋_GB2312" w:eastAsia="仿宋_GB2312" w:cs="仿宋_GB2312"/>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napToGrid w:val="0"/>
          <w:sz w:val="28"/>
          <w:szCs w:val="28"/>
          <w:highlight w:val="none"/>
        </w:rPr>
        <w:t>若因乙方自身原因，未能在约定日期前完成阶段成果或最终成果的，乙方应承担项目延误的违约责任，每延误1天，乙方应按照本合同已付金额的1%承担逾期违约责任，且甲方有权推迟支付相应款项；乙方迟延达1</w:t>
      </w:r>
      <w:r>
        <w:rPr>
          <w:rFonts w:ascii="仿宋_GB2312" w:hAnsi="仿宋_GB2312" w:eastAsia="仿宋_GB2312" w:cs="仿宋_GB2312"/>
          <w:snapToGrid w:val="0"/>
          <w:sz w:val="28"/>
          <w:szCs w:val="28"/>
          <w:highlight w:val="none"/>
        </w:rPr>
        <w:t>5</w:t>
      </w:r>
      <w:r>
        <w:rPr>
          <w:rFonts w:hint="eastAsia" w:ascii="仿宋_GB2312" w:hAnsi="仿宋_GB2312" w:eastAsia="仿宋_GB2312" w:cs="仿宋_GB2312"/>
          <w:snapToGrid w:val="0"/>
          <w:sz w:val="28"/>
          <w:szCs w:val="28"/>
          <w:highlight w:val="none"/>
        </w:rPr>
        <w:t>日的，甲方有权解除合同</w:t>
      </w:r>
      <w:r>
        <w:rPr>
          <w:rFonts w:ascii="仿宋_GB2312" w:hAnsi="仿宋_GB2312" w:eastAsia="仿宋_GB2312" w:cs="仿宋_GB2312"/>
          <w:snapToGrid w:val="0"/>
          <w:sz w:val="28"/>
          <w:szCs w:val="28"/>
          <w:highlight w:val="none"/>
        </w:rPr>
        <w:t>并要求乙方承担合同总价款20%的违约金，</w:t>
      </w:r>
      <w:r>
        <w:rPr>
          <w:rFonts w:hint="eastAsia" w:ascii="仿宋_GB2312" w:hAnsi="仿宋_GB2312" w:eastAsia="仿宋_GB2312" w:cs="仿宋_GB2312"/>
          <w:snapToGrid w:val="0"/>
          <w:sz w:val="28"/>
          <w:szCs w:val="28"/>
          <w:highlight w:val="none"/>
        </w:rPr>
        <w:t>且不承担任何违约责任。</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2</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乙方根据合同约定指派人员并正式启动项目后，若因甲方原因导致项目停滞超过</w:t>
      </w:r>
      <w:r>
        <w:rPr>
          <w:rFonts w:ascii="仿宋_GB2312" w:hAnsi="仿宋_GB2312" w:eastAsia="仿宋_GB2312" w:cs="仿宋_GB2312"/>
          <w:sz w:val="28"/>
          <w:szCs w:val="28"/>
          <w:highlight w:val="none"/>
        </w:rPr>
        <w:t>30</w:t>
      </w:r>
      <w:r>
        <w:rPr>
          <w:rFonts w:hint="eastAsia" w:ascii="仿宋_GB2312" w:hAnsi="仿宋_GB2312" w:eastAsia="仿宋_GB2312" w:cs="仿宋_GB2312"/>
          <w:sz w:val="28"/>
          <w:szCs w:val="28"/>
          <w:highlight w:val="none"/>
        </w:rPr>
        <w:t>天及以上的，乙方有权终止合同并要求甲方支付乙方已按约定进度完成工作的相应全部款项。</w:t>
      </w:r>
      <w:r>
        <w:rPr>
          <w:rFonts w:ascii="仿宋_GB2312" w:hAnsi="仿宋_GB2312" w:eastAsia="仿宋_GB2312" w:cs="仿宋_GB2312"/>
          <w:sz w:val="28"/>
          <w:szCs w:val="28"/>
          <w:highlight w:val="none"/>
        </w:rPr>
        <w:t>乙方在项目停滞</w:t>
      </w:r>
      <w:r>
        <w:rPr>
          <w:rFonts w:hint="eastAsia" w:ascii="仿宋_GB2312" w:hAnsi="仿宋_GB2312" w:eastAsia="仿宋_GB2312" w:cs="仿宋_GB2312"/>
          <w:sz w:val="28"/>
          <w:szCs w:val="28"/>
          <w:highlight w:val="none"/>
        </w:rPr>
        <w:t>3</w:t>
      </w:r>
      <w:r>
        <w:rPr>
          <w:rFonts w:ascii="仿宋_GB2312" w:hAnsi="仿宋_GB2312" w:eastAsia="仿宋_GB2312" w:cs="仿宋_GB2312"/>
          <w:sz w:val="28"/>
          <w:szCs w:val="28"/>
          <w:highlight w:val="none"/>
        </w:rPr>
        <w:t>0</w:t>
      </w:r>
      <w:r>
        <w:rPr>
          <w:rFonts w:hint="eastAsia" w:ascii="仿宋_GB2312" w:hAnsi="仿宋_GB2312" w:eastAsia="仿宋_GB2312" w:cs="仿宋_GB2312"/>
          <w:sz w:val="28"/>
          <w:szCs w:val="28"/>
          <w:highlight w:val="none"/>
        </w:rPr>
        <w:t>天</w:t>
      </w:r>
      <w:r>
        <w:rPr>
          <w:rFonts w:ascii="仿宋_GB2312" w:hAnsi="仿宋_GB2312" w:eastAsia="仿宋_GB2312" w:cs="仿宋_GB2312"/>
          <w:sz w:val="28"/>
          <w:szCs w:val="28"/>
          <w:highlight w:val="none"/>
        </w:rPr>
        <w:t>后仍继续工作</w:t>
      </w:r>
      <w:r>
        <w:rPr>
          <w:rFonts w:hint="eastAsia" w:ascii="仿宋_GB2312" w:hAnsi="仿宋_GB2312" w:eastAsia="仿宋_GB2312" w:cs="仿宋_GB2312"/>
          <w:sz w:val="28"/>
          <w:szCs w:val="28"/>
          <w:highlight w:val="none"/>
        </w:rPr>
        <w:t>的，双方合同继续履行，不视为甲方违约，甲方对此不承担违约责任</w:t>
      </w:r>
      <w:r>
        <w:rPr>
          <w:rFonts w:ascii="仿宋_GB2312" w:hAnsi="仿宋_GB2312" w:eastAsia="仿宋_GB2312" w:cs="仿宋_GB2312"/>
          <w:sz w:val="28"/>
          <w:szCs w:val="28"/>
          <w:highlight w:val="none"/>
        </w:rPr>
        <w:t>。</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3.若乙方咨询服务成果经甲方审核通过后，甲方未按本合同约定向乙方支付咨询服务费用，甲方应承担应付而未付金额每日0.5%的滞纳金，且乙方咨询服务时间顺延。</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4.乙方应按项目工作计划提供阶段咨询成果和最终成果，若乙方提交的阶段咨询成果和最终成果经甲方审核后未被认可，且经</w:t>
      </w:r>
      <w:r>
        <w:rPr>
          <w:rFonts w:hint="eastAsia" w:ascii="仿宋_GB2312" w:hAnsi="仿宋_GB2312" w:eastAsia="仿宋_GB2312" w:cs="仿宋_GB2312"/>
          <w:sz w:val="28"/>
          <w:szCs w:val="28"/>
          <w:highlight w:val="none"/>
          <w:lang w:eastAsia="zh-Hans"/>
        </w:rPr>
        <w:t>五</w:t>
      </w:r>
      <w:r>
        <w:rPr>
          <w:rFonts w:hint="eastAsia" w:ascii="仿宋_GB2312" w:hAnsi="仿宋_GB2312" w:eastAsia="仿宋_GB2312" w:cs="仿宋_GB2312"/>
          <w:sz w:val="28"/>
          <w:szCs w:val="28"/>
          <w:highlight w:val="none"/>
        </w:rPr>
        <w:t>次修改后仍未被认可，甲方有权不支付该阶段咨询服务费用并终止本合同。</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5.如因不可抗力导致甲乙双方不能按约履行本合同，由双方协商处理或终止本合同的履行，互不承担违约责任。</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6.如因甲方违约导致本合同提前解除的，甲方须向乙方支付其已按约定进度所提交项目成果的相应全部款项。</w:t>
      </w:r>
    </w:p>
    <w:p>
      <w:pPr>
        <w:pStyle w:val="23"/>
        <w:spacing w:line="560" w:lineRule="exact"/>
        <w:ind w:firstLine="56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7.如因乙方违约导致本合同提前解除的，乙方须向甲方退还已支付的费用，并按照本合同总金额的</w:t>
      </w:r>
      <w:r>
        <w:rPr>
          <w:rFonts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rPr>
        <w:t>0%向甲方支付违约金。</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第十二条 争议解决</w:t>
      </w:r>
    </w:p>
    <w:p>
      <w:pPr>
        <w:spacing w:line="560" w:lineRule="exact"/>
        <w:ind w:firstLine="544" w:firstLineChars="200"/>
        <w:rPr>
          <w:rFonts w:ascii="仿宋_GB2312" w:hAnsi="仿宋_GB2312" w:eastAsia="仿宋_GB2312" w:cs="仿宋_GB2312"/>
          <w:sz w:val="28"/>
          <w:szCs w:val="28"/>
          <w:highlight w:val="none"/>
        </w:rPr>
      </w:pPr>
      <w:r>
        <w:rPr>
          <w:rFonts w:hint="eastAsia" w:ascii="仿宋_GB2312" w:hAnsi="仿宋_GB2312" w:eastAsia="仿宋_GB2312" w:cs="仿宋_GB2312"/>
          <w:spacing w:val="-4"/>
          <w:sz w:val="28"/>
          <w:szCs w:val="28"/>
          <w:highlight w:val="none"/>
        </w:rPr>
        <w:t>如本合同履行过程中，甲乙双方发生任何争议时，应本着友好合作的态度，通过协商的方式解决，如协商不成，任何一方有权向甲方所在地人民法院提起诉讼。</w:t>
      </w:r>
    </w:p>
    <w:p>
      <w:pPr>
        <w:pStyle w:val="23"/>
        <w:spacing w:line="560" w:lineRule="exact"/>
        <w:ind w:left="558" w:firstLine="0" w:firstLineChars="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第十三条 其他</w:t>
      </w:r>
    </w:p>
    <w:p>
      <w:pPr>
        <w:pStyle w:val="13"/>
        <w:spacing w:beforeAutospacing="0" w:afterAutospacing="0"/>
        <w:ind w:firstLine="544" w:firstLineChars="200"/>
        <w:jc w:val="both"/>
        <w:rPr>
          <w:rFonts w:ascii="仿宋_GB2312" w:hAnsi="仿宋_GB2312" w:eastAsia="仿宋_GB2312" w:cs="仿宋_GB2312"/>
          <w:spacing w:val="-4"/>
          <w:kern w:val="2"/>
          <w:sz w:val="28"/>
          <w:szCs w:val="28"/>
          <w:highlight w:val="none"/>
        </w:rPr>
      </w:pPr>
      <w:r>
        <w:rPr>
          <w:rFonts w:hint="eastAsia" w:ascii="仿宋_GB2312" w:hAnsi="仿宋_GB2312" w:eastAsia="仿宋_GB2312" w:cs="仿宋_GB2312"/>
          <w:spacing w:val="-4"/>
          <w:kern w:val="2"/>
          <w:sz w:val="28"/>
          <w:szCs w:val="28"/>
          <w:highlight w:val="none"/>
        </w:rPr>
        <w:t>1.本项目比选文件以及乙方提交的比选申请文件与本合同要求或标准有冲突或异议的事项，以本合同为准。</w:t>
      </w:r>
    </w:p>
    <w:p>
      <w:pPr>
        <w:spacing w:line="560" w:lineRule="exact"/>
        <w:ind w:firstLine="544" w:firstLineChars="200"/>
        <w:rPr>
          <w:rFonts w:ascii="仿宋_GB2312" w:hAnsi="仿宋_GB2312" w:eastAsia="仿宋_GB2312" w:cs="仿宋_GB2312"/>
          <w:spacing w:val="-4"/>
          <w:sz w:val="28"/>
          <w:szCs w:val="28"/>
          <w:highlight w:val="none"/>
        </w:rPr>
      </w:pPr>
      <w:r>
        <w:rPr>
          <w:rFonts w:hint="eastAsia" w:ascii="仿宋_GB2312" w:hAnsi="仿宋_GB2312" w:eastAsia="仿宋_GB2312" w:cs="仿宋_GB2312"/>
          <w:spacing w:val="-4"/>
          <w:sz w:val="28"/>
          <w:szCs w:val="28"/>
          <w:highlight w:val="none"/>
        </w:rPr>
        <w:t>2</w:t>
      </w:r>
      <w:r>
        <w:rPr>
          <w:rFonts w:ascii="仿宋_GB2312" w:hAnsi="仿宋_GB2312" w:eastAsia="仿宋_GB2312" w:cs="仿宋_GB2312"/>
          <w:spacing w:val="-4"/>
          <w:sz w:val="28"/>
          <w:szCs w:val="28"/>
          <w:highlight w:val="none"/>
        </w:rPr>
        <w:t>.</w:t>
      </w:r>
      <w:r>
        <w:rPr>
          <w:rFonts w:hint="eastAsia" w:ascii="仿宋_GB2312" w:hAnsi="仿宋_GB2312" w:eastAsia="仿宋_GB2312" w:cs="仿宋_GB2312"/>
          <w:spacing w:val="-4"/>
          <w:sz w:val="28"/>
          <w:szCs w:val="28"/>
          <w:highlight w:val="none"/>
        </w:rPr>
        <w:t>本合同经双方法定代表人（或委托代理人）签字并加盖公章后生效。</w:t>
      </w:r>
    </w:p>
    <w:p>
      <w:pPr>
        <w:spacing w:line="560" w:lineRule="exact"/>
        <w:ind w:firstLine="544" w:firstLineChars="200"/>
        <w:rPr>
          <w:rFonts w:ascii="仿宋_GB2312" w:hAnsi="仿宋_GB2312" w:eastAsia="仿宋_GB2312" w:cs="仿宋_GB2312"/>
          <w:spacing w:val="-4"/>
          <w:sz w:val="28"/>
          <w:szCs w:val="28"/>
          <w:highlight w:val="none"/>
        </w:rPr>
      </w:pPr>
      <w:r>
        <w:rPr>
          <w:rFonts w:hint="eastAsia" w:ascii="仿宋_GB2312" w:hAnsi="仿宋_GB2312" w:eastAsia="仿宋_GB2312" w:cs="仿宋_GB2312"/>
          <w:spacing w:val="-4"/>
          <w:sz w:val="28"/>
          <w:szCs w:val="28"/>
          <w:highlight w:val="none"/>
        </w:rPr>
        <w:t>3.本合同一式[叁]份，甲方执[贰]份，乙方执[壹]份，具有同等法律效力。</w:t>
      </w:r>
    </w:p>
    <w:p>
      <w:pPr>
        <w:spacing w:line="560" w:lineRule="exact"/>
        <w:ind w:firstLine="544" w:firstLineChars="200"/>
        <w:rPr>
          <w:rFonts w:ascii="仿宋_GB2312" w:hAnsi="仿宋_GB2312" w:eastAsia="仿宋_GB2312" w:cs="仿宋_GB2312"/>
          <w:spacing w:val="-4"/>
          <w:sz w:val="28"/>
          <w:szCs w:val="28"/>
          <w:highlight w:val="none"/>
        </w:rPr>
      </w:pPr>
      <w:r>
        <w:rPr>
          <w:rFonts w:hint="eastAsia" w:ascii="仿宋_GB2312" w:hAnsi="仿宋_GB2312" w:eastAsia="仿宋_GB2312" w:cs="仿宋_GB2312"/>
          <w:spacing w:val="-4"/>
          <w:sz w:val="28"/>
          <w:szCs w:val="28"/>
          <w:highlight w:val="none"/>
        </w:rPr>
        <w:t>4.本合同履行过程中如有未尽事宜，经双方书面同意后，协商一致，签订补充协议。补充协议与本合同具有同等法律效力。</w:t>
      </w:r>
    </w:p>
    <w:p>
      <w:pPr>
        <w:spacing w:line="560" w:lineRule="exact"/>
        <w:ind w:firstLine="544" w:firstLineChars="200"/>
        <w:rPr>
          <w:rFonts w:ascii="仿宋_GB2312" w:hAnsi="仿宋_GB2312" w:eastAsia="仿宋_GB2312" w:cs="仿宋_GB2312"/>
          <w:spacing w:val="-4"/>
          <w:sz w:val="28"/>
          <w:szCs w:val="28"/>
          <w:highlight w:val="none"/>
        </w:rPr>
      </w:pPr>
      <w:r>
        <w:rPr>
          <w:rFonts w:hint="eastAsia" w:ascii="仿宋_GB2312" w:hAnsi="仿宋_GB2312" w:eastAsia="仿宋_GB2312" w:cs="仿宋_GB2312"/>
          <w:spacing w:val="-4"/>
          <w:sz w:val="28"/>
          <w:szCs w:val="28"/>
          <w:highlight w:val="none"/>
        </w:rPr>
        <w:t>附件</w:t>
      </w:r>
      <w:r>
        <w:rPr>
          <w:rFonts w:ascii="仿宋_GB2312" w:hAnsi="仿宋_GB2312" w:eastAsia="仿宋_GB2312" w:cs="仿宋_GB2312"/>
          <w:spacing w:val="-4"/>
          <w:sz w:val="28"/>
          <w:szCs w:val="28"/>
          <w:highlight w:val="none"/>
        </w:rPr>
        <w:t>1</w:t>
      </w:r>
      <w:r>
        <w:rPr>
          <w:rFonts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rPr>
        <w:t>四川蜀物蓉欧实业有限</w:t>
      </w:r>
      <w:r>
        <w:rPr>
          <w:rFonts w:ascii="仿宋_GB2312" w:hAnsi="仿宋_GB2312" w:eastAsia="仿宋_GB2312" w:cs="仿宋_GB2312"/>
          <w:sz w:val="28"/>
          <w:szCs w:val="28"/>
          <w:highlight w:val="none"/>
        </w:rPr>
        <w:t>公司</w:t>
      </w:r>
      <w:r>
        <w:rPr>
          <w:rFonts w:hint="eastAsia" w:ascii="仿宋_GB2312" w:hAnsi="仿宋_GB2312" w:eastAsia="仿宋_GB2312" w:cs="仿宋_GB2312"/>
          <w:sz w:val="28"/>
          <w:szCs w:val="28"/>
          <w:highlight w:val="none"/>
        </w:rPr>
        <w:t>人力资源咨询服务项目工作清单》</w:t>
      </w:r>
      <w:r>
        <w:rPr>
          <w:rFonts w:ascii="仿宋_GB2312" w:hAnsi="仿宋_GB2312" w:eastAsia="仿宋_GB2312" w:cs="仿宋_GB2312"/>
          <w:spacing w:val="-4"/>
          <w:sz w:val="28"/>
          <w:szCs w:val="28"/>
          <w:highlight w:val="none"/>
        </w:rPr>
        <w:t>。</w:t>
      </w:r>
    </w:p>
    <w:p>
      <w:pPr>
        <w:pStyle w:val="6"/>
        <w:jc w:val="center"/>
        <w:rPr>
          <w:rFonts w:eastAsia="仿宋_GB2312"/>
          <w:b w:val="0"/>
          <w:highlight w:val="none"/>
        </w:rPr>
      </w:pPr>
      <w:r>
        <w:rPr>
          <w:rFonts w:hint="eastAsia" w:eastAsia="仿宋_GB2312"/>
          <w:b w:val="0"/>
          <w:highlight w:val="none"/>
        </w:rPr>
        <w:t>（以下无正文，为双方签署页）</w:t>
      </w:r>
    </w:p>
    <w:p>
      <w:pPr>
        <w:spacing w:line="360" w:lineRule="auto"/>
        <w:jc w:val="left"/>
        <w:rPr>
          <w:rFonts w:ascii="仿宋_GB2312" w:hAnsi="仿宋_GB2312" w:eastAsia="仿宋_GB2312" w:cs="仿宋_GB2312"/>
          <w:sz w:val="28"/>
          <w:szCs w:val="28"/>
          <w:highlight w:val="none"/>
        </w:rPr>
      </w:pPr>
    </w:p>
    <w:p>
      <w:pPr>
        <w:spacing w:line="360" w:lineRule="auto"/>
        <w:jc w:val="left"/>
        <w:rPr>
          <w:highlight w:val="none"/>
        </w:rPr>
      </w:pPr>
      <w:r>
        <w:rPr>
          <w:rFonts w:hint="eastAsia" w:ascii="仿宋_GB2312" w:hAnsi="仿宋_GB2312" w:eastAsia="仿宋_GB2312" w:cs="仿宋_GB2312"/>
          <w:sz w:val="28"/>
          <w:szCs w:val="28"/>
          <w:highlight w:val="none"/>
        </w:rPr>
        <w:t>甲方（盖章）：</w:t>
      </w:r>
    </w:p>
    <w:p>
      <w:pPr>
        <w:pStyle w:val="23"/>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pPr>
        <w:pStyle w:val="23"/>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（或委托代理人）签字：</w:t>
      </w:r>
    </w:p>
    <w:p>
      <w:pPr>
        <w:pStyle w:val="23"/>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签约日期：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日</w:t>
      </w:r>
    </w:p>
    <w:p>
      <w:pPr>
        <w:pStyle w:val="23"/>
        <w:ind w:firstLine="560"/>
        <w:rPr>
          <w:rFonts w:ascii="仿宋_GB2312" w:hAnsi="仿宋_GB2312" w:eastAsia="仿宋_GB2312" w:cs="仿宋_GB2312"/>
          <w:sz w:val="28"/>
          <w:szCs w:val="28"/>
          <w:highlight w:val="none"/>
        </w:rPr>
      </w:pPr>
    </w:p>
    <w:p>
      <w:pPr>
        <w:spacing w:line="360" w:lineRule="auto"/>
        <w:jc w:val="lef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乙方（盖章）：</w:t>
      </w:r>
    </w:p>
    <w:p>
      <w:pPr>
        <w:pStyle w:val="23"/>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p>
    <w:p>
      <w:pPr>
        <w:pStyle w:val="23"/>
        <w:ind w:firstLine="0" w:firstLineChars="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（或委托代理人）签字：</w:t>
      </w:r>
    </w:p>
    <w:p>
      <w:pPr>
        <w:pStyle w:val="23"/>
        <w:ind w:firstLine="0" w:firstLineChars="0"/>
        <w:rPr>
          <w:rFonts w:ascii="仿宋_GB2312" w:hAnsi="仿宋_GB2312" w:eastAsia="仿宋_GB2312" w:cs="仿宋_GB2312"/>
          <w:sz w:val="28"/>
          <w:szCs w:val="28"/>
          <w:highlight w:val="none"/>
        </w:rPr>
        <w:sectPr>
          <w:pgSz w:w="11906" w:h="16838"/>
          <w:pgMar w:top="2098" w:right="1474" w:bottom="1984" w:left="1587" w:header="851" w:footer="992" w:gutter="0"/>
          <w:cols w:space="425" w:num="1"/>
          <w:docGrid w:type="lines" w:linePitch="312" w:charSpace="0"/>
        </w:sectPr>
      </w:pPr>
      <w:r>
        <w:rPr>
          <w:rFonts w:hint="eastAsia" w:ascii="仿宋_GB2312" w:hAnsi="仿宋_GB2312" w:eastAsia="仿宋_GB2312" w:cs="仿宋_GB2312"/>
          <w:sz w:val="28"/>
          <w:szCs w:val="28"/>
          <w:highlight w:val="none"/>
        </w:rPr>
        <w:t xml:space="preserve">签约日期：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日</w:t>
      </w:r>
    </w:p>
    <w:p>
      <w:pPr>
        <w:rPr>
          <w:highlight w:val="none"/>
        </w:rPr>
      </w:pPr>
      <w:r>
        <w:rPr>
          <w:rFonts w:hint="eastAsia"/>
          <w:highlight w:val="none"/>
        </w:rPr>
        <w:t>附件1</w:t>
      </w:r>
    </w:p>
    <w:p>
      <w:pPr>
        <w:pStyle w:val="2"/>
        <w:jc w:val="center"/>
        <w:rPr>
          <w:rFonts w:ascii="方正小标宋简体" w:hAnsi="方正小标宋简体" w:eastAsia="方正小标宋简体" w:cs="方正小标宋简体"/>
          <w:sz w:val="28"/>
          <w:szCs w:val="28"/>
          <w:highlight w:val="none"/>
        </w:rPr>
      </w:pPr>
    </w:p>
    <w:p>
      <w:pPr>
        <w:pStyle w:val="2"/>
        <w:jc w:val="center"/>
        <w:rPr>
          <w:rFonts w:ascii="方正小标宋简体" w:hAnsi="方正小标宋简体" w:eastAsia="方正小标宋简体" w:cs="方正小标宋简体"/>
          <w:sz w:val="28"/>
          <w:szCs w:val="28"/>
          <w:highlight w:val="none"/>
        </w:rPr>
      </w:pPr>
      <w:r>
        <w:rPr>
          <w:rFonts w:hint="eastAsia" w:ascii="方正小标宋简体" w:hAnsi="方正小标宋简体" w:eastAsia="方正小标宋简体" w:cs="方正小标宋简体"/>
          <w:sz w:val="28"/>
          <w:szCs w:val="28"/>
          <w:highlight w:val="none"/>
        </w:rPr>
        <w:t>四川蜀物蓉欧实业有限</w:t>
      </w:r>
      <w:r>
        <w:rPr>
          <w:rFonts w:ascii="方正小标宋简体" w:hAnsi="方正小标宋简体" w:eastAsia="方正小标宋简体" w:cs="方正小标宋简体"/>
          <w:sz w:val="28"/>
          <w:szCs w:val="28"/>
          <w:highlight w:val="none"/>
        </w:rPr>
        <w:t>公司</w:t>
      </w:r>
      <w:r>
        <w:rPr>
          <w:rFonts w:hint="eastAsia" w:ascii="方正小标宋简体" w:hAnsi="方正小标宋简体" w:eastAsia="方正小标宋简体" w:cs="方正小标宋简体"/>
          <w:sz w:val="28"/>
          <w:szCs w:val="28"/>
          <w:highlight w:val="none"/>
        </w:rPr>
        <w:t>人力资源咨询服务项目工作清单</w:t>
      </w:r>
    </w:p>
    <w:tbl>
      <w:tblPr>
        <w:tblStyle w:val="16"/>
        <w:tblW w:w="8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551"/>
        <w:gridCol w:w="3397"/>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序号</w:t>
            </w:r>
          </w:p>
        </w:tc>
        <w:tc>
          <w:tcPr>
            <w:tcW w:w="2551" w:type="dxa"/>
            <w:shd w:val="clear" w:color="auto" w:fill="auto"/>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项目内容</w:t>
            </w:r>
          </w:p>
        </w:tc>
        <w:tc>
          <w:tcPr>
            <w:tcW w:w="3397" w:type="dxa"/>
            <w:shd w:val="clear" w:color="auto" w:fill="auto"/>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项目成果</w:t>
            </w:r>
          </w:p>
        </w:tc>
        <w:tc>
          <w:tcPr>
            <w:tcW w:w="1560" w:type="dxa"/>
            <w:shd w:val="clear" w:color="auto" w:fill="auto"/>
            <w:vAlign w:val="center"/>
          </w:tcPr>
          <w:p>
            <w:pPr>
              <w:widowControl/>
              <w:jc w:val="center"/>
              <w:rPr>
                <w:rFonts w:ascii="仿宋_GB2312" w:hAnsi="仿宋_GB2312" w:eastAsia="仿宋_GB2312" w:cs="宋体"/>
                <w:b/>
                <w:bCs/>
                <w:color w:val="000000"/>
                <w:sz w:val="24"/>
                <w:highlight w:val="none"/>
              </w:rPr>
            </w:pPr>
            <w:r>
              <w:rPr>
                <w:rFonts w:hint="eastAsia" w:ascii="仿宋_GB2312" w:hAnsi="仿宋_GB2312" w:eastAsia="仿宋_GB2312" w:cs="宋体"/>
                <w:b/>
                <w:bCs/>
                <w:color w:val="000000"/>
                <w:sz w:val="24"/>
                <w:highlight w:val="none"/>
              </w:rPr>
              <w:t>成果格式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1</w:t>
            </w:r>
          </w:p>
        </w:tc>
        <w:tc>
          <w:tcPr>
            <w:tcW w:w="2551" w:type="dxa"/>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项目总体方案设计</w:t>
            </w: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项目总体方案</w:t>
            </w:r>
          </w:p>
        </w:tc>
        <w:tc>
          <w:tcPr>
            <w:tcW w:w="1560"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p</w:t>
            </w:r>
            <w:r>
              <w:rPr>
                <w:rFonts w:ascii="仿宋_GB2312" w:hAnsi="仿宋_GB2312" w:eastAsia="仿宋_GB2312" w:cs="宋体"/>
                <w:color w:val="000000"/>
                <w:sz w:val="24"/>
                <w:highlight w:val="none"/>
              </w:rPr>
              <w:t>pt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2</w:t>
            </w:r>
          </w:p>
        </w:tc>
        <w:tc>
          <w:tcPr>
            <w:tcW w:w="2551" w:type="dxa"/>
            <w:vMerge w:val="restart"/>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中层及以下岗位薪酬绩效体系设计</w:t>
            </w: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员工薪酬管理办法</w:t>
            </w:r>
          </w:p>
        </w:tc>
        <w:tc>
          <w:tcPr>
            <w:tcW w:w="1560"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3</w:t>
            </w:r>
          </w:p>
        </w:tc>
        <w:tc>
          <w:tcPr>
            <w:tcW w:w="2551" w:type="dxa"/>
            <w:vMerge w:val="continue"/>
            <w:shd w:val="clear" w:color="auto" w:fill="auto"/>
            <w:vAlign w:val="center"/>
          </w:tcPr>
          <w:p>
            <w:pPr>
              <w:widowControl/>
              <w:jc w:val="left"/>
              <w:rPr>
                <w:rFonts w:ascii="仿宋_GB2312" w:hAnsi="仿宋_GB2312" w:eastAsia="仿宋_GB2312" w:cs="宋体"/>
                <w:color w:val="000000"/>
                <w:sz w:val="24"/>
                <w:highlight w:val="none"/>
              </w:rPr>
            </w:pP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员工绩效管理办法</w:t>
            </w:r>
          </w:p>
        </w:tc>
        <w:tc>
          <w:tcPr>
            <w:tcW w:w="1560"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4</w:t>
            </w:r>
          </w:p>
        </w:tc>
        <w:tc>
          <w:tcPr>
            <w:tcW w:w="2551" w:type="dxa"/>
            <w:vMerge w:val="continue"/>
            <w:shd w:val="clear" w:color="auto" w:fill="auto"/>
            <w:vAlign w:val="center"/>
          </w:tcPr>
          <w:p>
            <w:pPr>
              <w:widowControl/>
              <w:jc w:val="left"/>
              <w:rPr>
                <w:rFonts w:ascii="仿宋_GB2312" w:hAnsi="仿宋_GB2312" w:eastAsia="仿宋_GB2312" w:cs="宋体"/>
                <w:color w:val="000000"/>
                <w:sz w:val="24"/>
                <w:highlight w:val="none"/>
              </w:rPr>
            </w:pP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业务部门内部考核实施细则</w:t>
            </w:r>
          </w:p>
        </w:tc>
        <w:tc>
          <w:tcPr>
            <w:tcW w:w="1560"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5</w:t>
            </w:r>
          </w:p>
        </w:tc>
        <w:tc>
          <w:tcPr>
            <w:tcW w:w="2551" w:type="dxa"/>
            <w:vMerge w:val="continue"/>
            <w:shd w:val="clear" w:color="auto" w:fill="auto"/>
            <w:vAlign w:val="center"/>
          </w:tcPr>
          <w:p>
            <w:pPr>
              <w:widowControl/>
              <w:jc w:val="center"/>
              <w:rPr>
                <w:rFonts w:ascii="仿宋_GB2312" w:hAnsi="仿宋_GB2312" w:eastAsia="仿宋_GB2312" w:cs="宋体"/>
                <w:color w:val="000000"/>
                <w:sz w:val="24"/>
                <w:highlight w:val="none"/>
              </w:rPr>
            </w:pP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薪酬套改测算表</w:t>
            </w:r>
          </w:p>
        </w:tc>
        <w:tc>
          <w:tcPr>
            <w:tcW w:w="1560" w:type="dxa"/>
            <w:shd w:val="clear" w:color="auto" w:fill="auto"/>
            <w:vAlign w:val="center"/>
          </w:tcPr>
          <w:p>
            <w:pPr>
              <w:widowControl/>
              <w:jc w:val="center"/>
              <w:rPr>
                <w:rFonts w:ascii="仿宋_GB2312" w:hAnsi="仿宋_GB2312" w:eastAsia="仿宋_GB2312" w:cs="宋体"/>
                <w:color w:val="000000"/>
                <w:sz w:val="24"/>
                <w:highlight w:val="none"/>
              </w:rPr>
            </w:pPr>
            <w:r>
              <w:rPr>
                <w:rFonts w:ascii="仿宋_GB2312" w:hAnsi="仿宋_GB2312" w:eastAsia="仿宋_GB2312" w:cs="宋体"/>
                <w:color w:val="000000"/>
                <w:sz w:val="24"/>
                <w:highlight w:val="none"/>
              </w:rPr>
              <w:t>excel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6</w:t>
            </w:r>
          </w:p>
        </w:tc>
        <w:tc>
          <w:tcPr>
            <w:tcW w:w="2551" w:type="dxa"/>
            <w:vMerge w:val="restart"/>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领导班子成员薪酬绩效体系设计</w:t>
            </w: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领导班子成员薪酬管理办法</w:t>
            </w:r>
          </w:p>
        </w:tc>
        <w:tc>
          <w:tcPr>
            <w:tcW w:w="1560" w:type="dxa"/>
            <w:shd w:val="clear" w:color="auto" w:fill="auto"/>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7</w:t>
            </w:r>
          </w:p>
        </w:tc>
        <w:tc>
          <w:tcPr>
            <w:tcW w:w="2551" w:type="dxa"/>
            <w:vMerge w:val="continue"/>
            <w:vAlign w:val="center"/>
          </w:tcPr>
          <w:p>
            <w:pPr>
              <w:widowControl/>
              <w:jc w:val="left"/>
              <w:rPr>
                <w:rFonts w:ascii="仿宋_GB2312" w:hAnsi="仿宋_GB2312" w:eastAsia="仿宋_GB2312" w:cs="宋体"/>
                <w:color w:val="000000"/>
                <w:sz w:val="24"/>
                <w:highlight w:val="none"/>
              </w:rPr>
            </w:pPr>
          </w:p>
        </w:tc>
        <w:tc>
          <w:tcPr>
            <w:tcW w:w="3397" w:type="dxa"/>
            <w:shd w:val="clear" w:color="auto" w:fill="auto"/>
            <w:vAlign w:val="center"/>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领导班子成员绩效管理办法</w:t>
            </w:r>
          </w:p>
        </w:tc>
        <w:tc>
          <w:tcPr>
            <w:tcW w:w="1560" w:type="dxa"/>
            <w:shd w:val="clear" w:color="auto" w:fill="auto"/>
          </w:tcPr>
          <w:p>
            <w:pPr>
              <w:widowControl/>
              <w:jc w:val="center"/>
              <w:rPr>
                <w:rFonts w:ascii="仿宋_GB2312" w:hAnsi="仿宋_GB2312" w:eastAsia="仿宋_GB2312" w:cs="宋体"/>
                <w:color w:val="000000"/>
                <w:sz w:val="24"/>
                <w:highlight w:val="none"/>
              </w:rPr>
            </w:pPr>
            <w:r>
              <w:rPr>
                <w:rFonts w:hint="eastAsia" w:ascii="仿宋_GB2312" w:hAnsi="仿宋_GB2312" w:eastAsia="仿宋_GB2312" w:cs="宋体"/>
                <w:color w:val="000000"/>
                <w:sz w:val="24"/>
                <w:highlight w:val="none"/>
              </w:rPr>
              <w:t>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51" w:type="dxa"/>
            <w:shd w:val="clear" w:color="auto" w:fill="auto"/>
            <w:vAlign w:val="center"/>
          </w:tcPr>
          <w:p>
            <w:pPr>
              <w:widowControl/>
              <w:jc w:val="center"/>
              <w:rPr>
                <w:rFonts w:hint="eastAsia" w:ascii="仿宋_GB2312" w:hAnsi="仿宋_GB2312" w:eastAsia="仿宋_GB2312" w:cs="宋体"/>
                <w:color w:val="000000"/>
                <w:sz w:val="24"/>
                <w:highlight w:val="none"/>
                <w:lang w:val="en-US" w:eastAsia="zh-CN"/>
              </w:rPr>
            </w:pPr>
            <w:r>
              <w:rPr>
                <w:rFonts w:hint="eastAsia" w:ascii="仿宋_GB2312" w:hAnsi="仿宋_GB2312" w:eastAsia="仿宋_GB2312" w:cs="宋体"/>
                <w:color w:val="000000"/>
                <w:sz w:val="24"/>
                <w:highlight w:val="none"/>
                <w:lang w:val="en-US" w:eastAsia="zh-CN"/>
              </w:rPr>
              <w:t>8</w:t>
            </w:r>
          </w:p>
        </w:tc>
        <w:tc>
          <w:tcPr>
            <w:tcW w:w="2551" w:type="dxa"/>
            <w:vAlign w:val="center"/>
          </w:tcPr>
          <w:p>
            <w:pPr>
              <w:widowControl/>
              <w:jc w:val="left"/>
              <w:rPr>
                <w:rFonts w:hint="default" w:ascii="仿宋_GB2312" w:hAnsi="仿宋_GB2312" w:eastAsia="仿宋_GB2312" w:cs="宋体"/>
                <w:color w:val="000000"/>
                <w:sz w:val="24"/>
                <w:highlight w:val="none"/>
                <w:lang w:val="en-US" w:eastAsia="zh-CN"/>
              </w:rPr>
            </w:pPr>
            <w:r>
              <w:rPr>
                <w:rFonts w:hint="eastAsia" w:ascii="仿宋_GB2312" w:hAnsi="仿宋_GB2312" w:eastAsia="仿宋_GB2312" w:cs="宋体"/>
                <w:color w:val="000000"/>
                <w:sz w:val="24"/>
                <w:highlight w:val="none"/>
                <w:lang w:val="en-US" w:eastAsia="zh-CN"/>
              </w:rPr>
              <w:t>项目培训</w:t>
            </w:r>
          </w:p>
        </w:tc>
        <w:tc>
          <w:tcPr>
            <w:tcW w:w="3397" w:type="dxa"/>
            <w:shd w:val="clear" w:color="auto" w:fill="auto"/>
            <w:vAlign w:val="center"/>
          </w:tcPr>
          <w:p>
            <w:pPr>
              <w:widowControl/>
              <w:jc w:val="center"/>
              <w:rPr>
                <w:rFonts w:hint="default" w:ascii="仿宋_GB2312" w:hAnsi="仿宋_GB2312" w:eastAsia="仿宋_GB2312" w:cs="宋体"/>
                <w:color w:val="000000"/>
                <w:sz w:val="24"/>
                <w:highlight w:val="none"/>
                <w:lang w:val="en-US" w:eastAsia="zh-CN"/>
              </w:rPr>
            </w:pPr>
            <w:r>
              <w:rPr>
                <w:rFonts w:hint="eastAsia" w:ascii="仿宋_GB2312" w:hAnsi="仿宋_GB2312" w:eastAsia="仿宋_GB2312" w:cs="宋体"/>
                <w:color w:val="000000"/>
                <w:sz w:val="24"/>
                <w:highlight w:val="none"/>
                <w:lang w:val="en-US" w:eastAsia="zh-CN"/>
              </w:rPr>
              <w:t>培训方案</w:t>
            </w:r>
          </w:p>
        </w:tc>
        <w:tc>
          <w:tcPr>
            <w:tcW w:w="1560" w:type="dxa"/>
            <w:shd w:val="clear" w:color="auto" w:fill="auto"/>
          </w:tcPr>
          <w:p>
            <w:pPr>
              <w:widowControl/>
              <w:jc w:val="center"/>
              <w:rPr>
                <w:rFonts w:hint="default" w:ascii="仿宋_GB2312" w:hAnsi="仿宋_GB2312" w:eastAsia="仿宋_GB2312" w:cs="宋体"/>
                <w:color w:val="000000"/>
                <w:sz w:val="24"/>
                <w:highlight w:val="none"/>
                <w:lang w:val="en-US" w:eastAsia="zh-CN"/>
              </w:rPr>
            </w:pPr>
            <w:r>
              <w:rPr>
                <w:rFonts w:hint="eastAsia" w:ascii="仿宋_GB2312" w:hAnsi="仿宋_GB2312" w:eastAsia="仿宋_GB2312" w:cs="宋体"/>
                <w:color w:val="000000"/>
                <w:sz w:val="24"/>
                <w:highlight w:val="none"/>
                <w:lang w:val="en-US" w:eastAsia="zh-CN"/>
              </w:rPr>
              <w:t>PPT</w:t>
            </w:r>
          </w:p>
        </w:tc>
      </w:tr>
    </w:tbl>
    <w:p>
      <w:pPr>
        <w:pStyle w:val="2"/>
        <w:rPr>
          <w:highlight w:val="none"/>
        </w:rPr>
      </w:pPr>
    </w:p>
    <w:p>
      <w:pPr>
        <w:widowControl/>
        <w:snapToGrid w:val="0"/>
        <w:spacing w:line="560" w:lineRule="exact"/>
        <w:ind w:firstLine="680" w:firstLineChars="200"/>
        <w:rPr>
          <w:rFonts w:hAnsi="宋体"/>
          <w:kern w:val="44"/>
          <w:sz w:val="24"/>
          <w:szCs w:val="24"/>
          <w:highlight w:val="none"/>
        </w:rPr>
      </w:pPr>
      <w:r>
        <w:rPr>
          <w:rFonts w:hAnsi="宋体"/>
          <w:highlight w:val="none"/>
        </w:rPr>
        <w:br w:type="page"/>
      </w:r>
    </w:p>
    <w:p>
      <w:pPr>
        <w:spacing w:line="560" w:lineRule="exact"/>
        <w:rPr>
          <w:rFonts w:hAnsi="宋体"/>
          <w:highlight w:val="none"/>
        </w:rPr>
      </w:pPr>
    </w:p>
    <w:p>
      <w:pPr>
        <w:pStyle w:val="3"/>
        <w:spacing w:line="560" w:lineRule="exact"/>
        <w:jc w:val="center"/>
        <w:rPr>
          <w:rFonts w:ascii="宋体" w:hAnsi="宋体"/>
          <w:highlight w:val="none"/>
        </w:rPr>
      </w:pPr>
      <w:r>
        <w:rPr>
          <w:rFonts w:ascii="宋体" w:hAnsi="宋体"/>
          <w:highlight w:val="none"/>
        </w:rPr>
        <w:t>第五章 比选申请文件格式</w:t>
      </w:r>
      <w:bookmarkEnd w:id="248"/>
      <w:bookmarkEnd w:id="249"/>
    </w:p>
    <w:p>
      <w:pPr>
        <w:spacing w:line="560" w:lineRule="exact"/>
        <w:rPr>
          <w:rFonts w:hAnsi="宋体"/>
          <w:sz w:val="22"/>
          <w:szCs w:val="22"/>
          <w:highlight w:val="none"/>
        </w:rPr>
      </w:pPr>
    </w:p>
    <w:p>
      <w:pPr>
        <w:spacing w:line="560" w:lineRule="exact"/>
        <w:rPr>
          <w:rFonts w:hAnsi="宋体"/>
          <w:sz w:val="22"/>
          <w:szCs w:val="22"/>
          <w:highlight w:val="none"/>
        </w:rPr>
      </w:pPr>
    </w:p>
    <w:p>
      <w:pPr>
        <w:spacing w:line="560" w:lineRule="exact"/>
        <w:rPr>
          <w:rFonts w:hAnsi="宋体"/>
          <w:sz w:val="22"/>
          <w:szCs w:val="22"/>
          <w:highlight w:val="none"/>
        </w:rPr>
      </w:pPr>
    </w:p>
    <w:p>
      <w:pPr>
        <w:spacing w:line="560" w:lineRule="exact"/>
        <w:jc w:val="center"/>
        <w:rPr>
          <w:rFonts w:hAnsi="宋体"/>
          <w:b/>
          <w:sz w:val="32"/>
          <w:szCs w:val="32"/>
          <w:highlight w:val="none"/>
        </w:rPr>
      </w:pPr>
      <w:r>
        <w:rPr>
          <w:rFonts w:hint="eastAsia" w:hAnsi="宋体"/>
          <w:b/>
          <w:sz w:val="32"/>
          <w:szCs w:val="32"/>
          <w:highlight w:val="none"/>
        </w:rPr>
        <w:t>四川蜀物蓉欧实业有限公司</w:t>
      </w:r>
    </w:p>
    <w:p>
      <w:pPr>
        <w:spacing w:line="560" w:lineRule="exact"/>
        <w:jc w:val="center"/>
        <w:rPr>
          <w:rFonts w:hAnsi="宋体"/>
          <w:b/>
          <w:sz w:val="32"/>
          <w:szCs w:val="32"/>
          <w:highlight w:val="none"/>
        </w:rPr>
      </w:pPr>
      <w:r>
        <w:rPr>
          <w:rFonts w:hint="eastAsia" w:hAnsi="宋体"/>
          <w:b/>
          <w:sz w:val="32"/>
          <w:szCs w:val="32"/>
          <w:highlight w:val="none"/>
        </w:rPr>
        <w:t>人力资源服务中介机构选聘项目</w:t>
      </w:r>
    </w:p>
    <w:p>
      <w:pPr>
        <w:spacing w:line="560" w:lineRule="exact"/>
        <w:jc w:val="center"/>
        <w:rPr>
          <w:rFonts w:hAnsi="宋体"/>
          <w:b/>
          <w:sz w:val="32"/>
          <w:szCs w:val="32"/>
          <w:highlight w:val="none"/>
        </w:rPr>
      </w:pPr>
    </w:p>
    <w:p>
      <w:pPr>
        <w:spacing w:line="560" w:lineRule="exact"/>
        <w:jc w:val="center"/>
        <w:rPr>
          <w:rFonts w:hAnsi="宋体"/>
          <w:b/>
          <w:sz w:val="32"/>
          <w:szCs w:val="32"/>
          <w:highlight w:val="none"/>
        </w:rPr>
      </w:pPr>
    </w:p>
    <w:p>
      <w:pPr>
        <w:spacing w:line="560" w:lineRule="exact"/>
        <w:jc w:val="center"/>
        <w:rPr>
          <w:rFonts w:hAnsi="宋体"/>
          <w:sz w:val="32"/>
          <w:szCs w:val="32"/>
          <w:highlight w:val="none"/>
        </w:rPr>
      </w:pPr>
    </w:p>
    <w:p>
      <w:pPr>
        <w:spacing w:line="560" w:lineRule="exact"/>
        <w:jc w:val="center"/>
        <w:rPr>
          <w:rFonts w:hAnsi="宋体"/>
          <w:b/>
          <w:sz w:val="32"/>
          <w:szCs w:val="32"/>
          <w:highlight w:val="none"/>
        </w:rPr>
      </w:pPr>
      <w:r>
        <w:rPr>
          <w:rFonts w:hAnsi="宋体"/>
          <w:b/>
          <w:sz w:val="32"/>
          <w:szCs w:val="32"/>
          <w:highlight w:val="none"/>
        </w:rPr>
        <w:t>比选申请文件</w:t>
      </w: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spacing w:line="560" w:lineRule="exact"/>
        <w:jc w:val="center"/>
        <w:rPr>
          <w:rFonts w:hAnsi="宋体"/>
          <w:sz w:val="24"/>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比选申请人：（盖单位章）</w:t>
      </w:r>
    </w:p>
    <w:p>
      <w:pPr>
        <w:autoSpaceDE w:val="0"/>
        <w:autoSpaceDN w:val="0"/>
        <w:adjustRightInd w:val="0"/>
        <w:spacing w:line="560" w:lineRule="exact"/>
        <w:jc w:val="center"/>
        <w:rPr>
          <w:rFonts w:hAnsi="宋体"/>
          <w:sz w:val="30"/>
          <w:szCs w:val="30"/>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法定代表人或其委托代理人：（签字）</w:t>
      </w:r>
    </w:p>
    <w:p>
      <w:pPr>
        <w:autoSpaceDE w:val="0"/>
        <w:autoSpaceDN w:val="0"/>
        <w:adjustRightInd w:val="0"/>
        <w:spacing w:line="560" w:lineRule="exact"/>
        <w:jc w:val="center"/>
        <w:rPr>
          <w:rFonts w:hAnsi="宋体"/>
          <w:sz w:val="30"/>
          <w:szCs w:val="30"/>
          <w:highlight w:val="none"/>
        </w:rPr>
      </w:pPr>
    </w:p>
    <w:p>
      <w:pPr>
        <w:autoSpaceDE w:val="0"/>
        <w:autoSpaceDN w:val="0"/>
        <w:adjustRightInd w:val="0"/>
        <w:spacing w:line="560" w:lineRule="exact"/>
        <w:jc w:val="center"/>
        <w:rPr>
          <w:rFonts w:hAnsi="宋体"/>
          <w:sz w:val="30"/>
          <w:szCs w:val="30"/>
          <w:highlight w:val="none"/>
        </w:rPr>
      </w:pPr>
      <w:r>
        <w:rPr>
          <w:rFonts w:hAnsi="宋体"/>
          <w:sz w:val="30"/>
          <w:szCs w:val="30"/>
          <w:highlight w:val="none"/>
        </w:rPr>
        <w:t>年   月   日</w:t>
      </w:r>
    </w:p>
    <w:p>
      <w:pPr>
        <w:autoSpaceDE w:val="0"/>
        <w:autoSpaceDN w:val="0"/>
        <w:adjustRightInd w:val="0"/>
        <w:spacing w:line="560" w:lineRule="exact"/>
        <w:jc w:val="center"/>
        <w:rPr>
          <w:rFonts w:hAnsi="宋体"/>
          <w:sz w:val="30"/>
          <w:szCs w:val="30"/>
          <w:highlight w:val="none"/>
        </w:rPr>
      </w:pPr>
    </w:p>
    <w:p>
      <w:pPr>
        <w:spacing w:line="560" w:lineRule="exact"/>
        <w:jc w:val="left"/>
        <w:rPr>
          <w:rFonts w:hAnsi="宋体"/>
          <w:sz w:val="21"/>
          <w:szCs w:val="21"/>
          <w:highlight w:val="none"/>
        </w:rPr>
      </w:pPr>
      <w:r>
        <w:rPr>
          <w:rFonts w:hAnsi="宋体"/>
          <w:sz w:val="21"/>
          <w:szCs w:val="21"/>
          <w:highlight w:val="none"/>
        </w:rPr>
        <w:t>注：比选申请文件实质内容应包含本格式文件和比选文件所要求的全部范围。</w:t>
      </w:r>
    </w:p>
    <w:p>
      <w:pPr>
        <w:widowControl/>
        <w:spacing w:line="560" w:lineRule="exact"/>
        <w:jc w:val="center"/>
        <w:rPr>
          <w:rFonts w:hAnsi="宋体"/>
          <w:b/>
          <w:sz w:val="32"/>
          <w:highlight w:val="none"/>
        </w:rPr>
      </w:pPr>
    </w:p>
    <w:p>
      <w:pPr>
        <w:widowControl/>
        <w:spacing w:line="560" w:lineRule="exact"/>
        <w:jc w:val="center"/>
        <w:rPr>
          <w:rFonts w:hAnsi="宋体"/>
          <w:b/>
          <w:sz w:val="32"/>
          <w:highlight w:val="none"/>
        </w:rPr>
      </w:pPr>
      <w:r>
        <w:rPr>
          <w:rFonts w:hAnsi="宋体"/>
          <w:b/>
          <w:sz w:val="32"/>
          <w:highlight w:val="none"/>
        </w:rPr>
        <w:t>目  录</w:t>
      </w:r>
    </w:p>
    <w:p>
      <w:pPr>
        <w:widowControl/>
        <w:spacing w:line="560" w:lineRule="exact"/>
        <w:ind w:firstLine="3360" w:firstLineChars="1400"/>
        <w:jc w:val="left"/>
        <w:rPr>
          <w:rFonts w:hAnsi="宋体"/>
          <w:sz w:val="24"/>
          <w:highlight w:val="none"/>
        </w:rPr>
      </w:pPr>
    </w:p>
    <w:p>
      <w:pPr>
        <w:spacing w:line="560" w:lineRule="exact"/>
        <w:ind w:firstLine="460" w:firstLineChars="192"/>
        <w:rPr>
          <w:rFonts w:hAnsi="宋体"/>
          <w:sz w:val="24"/>
          <w:highlight w:val="none"/>
        </w:rPr>
      </w:pPr>
      <w:r>
        <w:rPr>
          <w:rFonts w:hAnsi="宋体"/>
          <w:sz w:val="24"/>
          <w:highlight w:val="none"/>
        </w:rPr>
        <w:t>一、比选申请函……………………………………………………………（）</w:t>
      </w:r>
    </w:p>
    <w:p>
      <w:pPr>
        <w:spacing w:line="560" w:lineRule="exact"/>
        <w:ind w:firstLine="460" w:firstLineChars="192"/>
        <w:rPr>
          <w:rFonts w:hAnsi="宋体"/>
          <w:sz w:val="24"/>
          <w:highlight w:val="none"/>
        </w:rPr>
      </w:pPr>
      <w:r>
        <w:rPr>
          <w:rFonts w:hAnsi="宋体"/>
          <w:sz w:val="24"/>
          <w:highlight w:val="none"/>
        </w:rPr>
        <w:t>二、法定代表人身份证明…………………………………………………（）</w:t>
      </w:r>
    </w:p>
    <w:p>
      <w:pPr>
        <w:spacing w:line="560" w:lineRule="exact"/>
        <w:ind w:firstLine="460" w:firstLineChars="192"/>
        <w:jc w:val="left"/>
        <w:rPr>
          <w:rFonts w:hAnsi="宋体"/>
          <w:sz w:val="24"/>
          <w:highlight w:val="none"/>
        </w:rPr>
      </w:pPr>
      <w:r>
        <w:rPr>
          <w:rFonts w:hAnsi="宋体"/>
          <w:sz w:val="24"/>
          <w:highlight w:val="none"/>
        </w:rPr>
        <w:t>三、授权委托书……………………………………………………………（）</w:t>
      </w:r>
    </w:p>
    <w:p>
      <w:pPr>
        <w:spacing w:line="560" w:lineRule="exact"/>
        <w:ind w:firstLine="460" w:firstLineChars="192"/>
        <w:jc w:val="left"/>
        <w:rPr>
          <w:rFonts w:hAnsi="宋体"/>
          <w:sz w:val="24"/>
          <w:highlight w:val="none"/>
        </w:rPr>
      </w:pPr>
      <w:r>
        <w:rPr>
          <w:rFonts w:hAnsi="宋体"/>
          <w:sz w:val="24"/>
          <w:highlight w:val="none"/>
        </w:rPr>
        <w:t>四、比选申请报价表………………………………………………………（）</w:t>
      </w:r>
    </w:p>
    <w:p>
      <w:pPr>
        <w:spacing w:line="560" w:lineRule="exact"/>
        <w:ind w:firstLine="460" w:firstLineChars="192"/>
        <w:jc w:val="left"/>
        <w:rPr>
          <w:rFonts w:hAnsi="宋体"/>
          <w:sz w:val="24"/>
          <w:highlight w:val="none"/>
        </w:rPr>
      </w:pPr>
      <w:r>
        <w:rPr>
          <w:rFonts w:hAnsi="宋体"/>
          <w:sz w:val="24"/>
          <w:highlight w:val="none"/>
        </w:rPr>
        <w:t>五、资格审查资料…………………………………………………………（）</w:t>
      </w:r>
    </w:p>
    <w:p>
      <w:pPr>
        <w:spacing w:line="560" w:lineRule="exact"/>
        <w:ind w:firstLine="460" w:firstLineChars="192"/>
        <w:rPr>
          <w:rFonts w:hAnsi="宋体"/>
          <w:sz w:val="24"/>
          <w:highlight w:val="none"/>
        </w:rPr>
      </w:pPr>
      <w:r>
        <w:rPr>
          <w:rFonts w:hAnsi="宋体"/>
          <w:sz w:val="24"/>
          <w:highlight w:val="none"/>
        </w:rPr>
        <w:t>六、承诺函…………………………………………………………………（）</w:t>
      </w:r>
    </w:p>
    <w:p>
      <w:pPr>
        <w:spacing w:line="560" w:lineRule="exact"/>
        <w:ind w:firstLine="460" w:firstLineChars="192"/>
        <w:rPr>
          <w:rFonts w:hAnsi="宋体"/>
          <w:sz w:val="24"/>
          <w:highlight w:val="none"/>
        </w:rPr>
      </w:pPr>
      <w:r>
        <w:rPr>
          <w:rFonts w:hAnsi="宋体"/>
          <w:sz w:val="24"/>
          <w:highlight w:val="none"/>
        </w:rPr>
        <w:t>七、类似项目业绩…………………………………………………………（）</w:t>
      </w:r>
    </w:p>
    <w:p>
      <w:pPr>
        <w:spacing w:line="560" w:lineRule="exact"/>
        <w:ind w:firstLine="460" w:firstLineChars="192"/>
        <w:rPr>
          <w:rFonts w:hAnsi="宋体"/>
          <w:sz w:val="24"/>
          <w:highlight w:val="none"/>
        </w:rPr>
      </w:pPr>
      <w:r>
        <w:rPr>
          <w:rFonts w:hAnsi="宋体"/>
          <w:sz w:val="24"/>
          <w:highlight w:val="none"/>
        </w:rPr>
        <w:t>八、拟投入本项目的人员配置清单………………………………………（）</w:t>
      </w:r>
    </w:p>
    <w:p>
      <w:pPr>
        <w:spacing w:line="560" w:lineRule="exact"/>
        <w:ind w:firstLine="460" w:firstLineChars="192"/>
        <w:rPr>
          <w:rFonts w:hAnsi="宋体"/>
          <w:sz w:val="24"/>
          <w:highlight w:val="none"/>
        </w:rPr>
      </w:pPr>
      <w:r>
        <w:rPr>
          <w:rFonts w:hAnsi="宋体"/>
          <w:sz w:val="24"/>
          <w:highlight w:val="none"/>
        </w:rPr>
        <w:t>九、</w:t>
      </w:r>
      <w:r>
        <w:rPr>
          <w:rFonts w:hint="eastAsia" w:hAnsi="宋体"/>
          <w:sz w:val="24"/>
          <w:highlight w:val="none"/>
        </w:rPr>
        <w:t>省国资委人力资源改革要求</w:t>
      </w:r>
      <w:r>
        <w:rPr>
          <w:rFonts w:hAnsi="宋体"/>
          <w:sz w:val="24"/>
          <w:highlight w:val="none"/>
        </w:rPr>
        <w:t>…………………………………………（）</w:t>
      </w:r>
    </w:p>
    <w:p>
      <w:pPr>
        <w:spacing w:line="560" w:lineRule="exact"/>
        <w:ind w:firstLine="460" w:firstLineChars="192"/>
        <w:rPr>
          <w:rFonts w:hAnsi="宋体"/>
          <w:sz w:val="24"/>
          <w:highlight w:val="none"/>
        </w:rPr>
      </w:pPr>
      <w:r>
        <w:rPr>
          <w:rFonts w:hAnsi="宋体"/>
          <w:sz w:val="24"/>
          <w:highlight w:val="none"/>
        </w:rPr>
        <w:t>十、项目实施方案…………………………………………………………（）</w:t>
      </w:r>
    </w:p>
    <w:p>
      <w:pPr>
        <w:spacing w:line="560" w:lineRule="exact"/>
        <w:ind w:firstLine="460" w:firstLineChars="192"/>
        <w:rPr>
          <w:rFonts w:hAnsi="宋体"/>
          <w:sz w:val="24"/>
          <w:highlight w:val="none"/>
        </w:rPr>
      </w:pPr>
    </w:p>
    <w:p>
      <w:pPr>
        <w:spacing w:line="560" w:lineRule="exact"/>
        <w:rPr>
          <w:rFonts w:hAnsi="宋体"/>
          <w:highlight w:val="none"/>
        </w:rPr>
      </w:pPr>
    </w:p>
    <w:p>
      <w:pPr>
        <w:spacing w:line="560" w:lineRule="exact"/>
        <w:rPr>
          <w:rFonts w:hAnsi="宋体"/>
          <w:highlight w:val="none"/>
        </w:rPr>
      </w:pPr>
    </w:p>
    <w:p>
      <w:pPr>
        <w:widowControl/>
        <w:spacing w:line="560" w:lineRule="exact"/>
        <w:jc w:val="left"/>
        <w:rPr>
          <w:rFonts w:hAnsi="宋体"/>
          <w:sz w:val="24"/>
          <w:highlight w:val="none"/>
        </w:rPr>
        <w:sectPr>
          <w:pgSz w:w="11906" w:h="16838"/>
          <w:pgMar w:top="1418" w:right="1304" w:bottom="1418" w:left="1701" w:header="851" w:footer="851" w:gutter="0"/>
          <w:cols w:space="720" w:num="1"/>
          <w:titlePg/>
          <w:docGrid w:linePitch="312" w:charSpace="0"/>
        </w:sectPr>
      </w:pPr>
    </w:p>
    <w:p>
      <w:pPr>
        <w:pStyle w:val="5"/>
        <w:spacing w:line="560" w:lineRule="exact"/>
        <w:jc w:val="center"/>
        <w:rPr>
          <w:rFonts w:ascii="宋体" w:hAnsi="宋体" w:cs="方正小标宋_GBK"/>
          <w:b w:val="0"/>
          <w:bCs/>
          <w:highlight w:val="none"/>
        </w:rPr>
      </w:pPr>
      <w:bookmarkStart w:id="250" w:name="_Toc446487148"/>
      <w:bookmarkStart w:id="251" w:name="_Toc20295"/>
      <w:bookmarkStart w:id="252" w:name="_Toc409528477"/>
      <w:bookmarkStart w:id="253" w:name="_Toc7352"/>
      <w:bookmarkStart w:id="254" w:name="_Toc408317166"/>
      <w:bookmarkStart w:id="255" w:name="_Toc3218"/>
      <w:bookmarkStart w:id="256" w:name="_Toc303335256"/>
      <w:bookmarkStart w:id="257" w:name="_Toc24077"/>
      <w:r>
        <w:rPr>
          <w:rFonts w:hint="eastAsia" w:ascii="宋体" w:hAnsi="宋体" w:cs="方正小标宋_GBK"/>
          <w:b w:val="0"/>
          <w:bCs/>
          <w:highlight w:val="none"/>
        </w:rPr>
        <w:t>一、比选申请函</w:t>
      </w:r>
      <w:bookmarkEnd w:id="250"/>
      <w:bookmarkEnd w:id="251"/>
      <w:bookmarkEnd w:id="252"/>
      <w:bookmarkEnd w:id="253"/>
      <w:bookmarkEnd w:id="254"/>
      <w:bookmarkEnd w:id="255"/>
      <w:bookmarkEnd w:id="256"/>
      <w:bookmarkEnd w:id="257"/>
    </w:p>
    <w:p>
      <w:pPr>
        <w:spacing w:line="560" w:lineRule="exact"/>
        <w:ind w:firstLine="680" w:firstLineChars="200"/>
        <w:jc w:val="left"/>
        <w:rPr>
          <w:rFonts w:hAnsi="宋体"/>
          <w:szCs w:val="21"/>
          <w:highlight w:val="none"/>
        </w:rPr>
      </w:pPr>
    </w:p>
    <w:p>
      <w:pPr>
        <w:spacing w:line="560" w:lineRule="exact"/>
        <w:jc w:val="left"/>
        <w:rPr>
          <w:rFonts w:hAnsi="宋体"/>
          <w:sz w:val="32"/>
          <w:szCs w:val="32"/>
          <w:highlight w:val="none"/>
        </w:rPr>
      </w:pPr>
      <w:r>
        <w:rPr>
          <w:rFonts w:hAnsi="宋体"/>
          <w:sz w:val="32"/>
          <w:szCs w:val="32"/>
          <w:highlight w:val="none"/>
          <w:u w:val="single"/>
        </w:rPr>
        <w:t xml:space="preserve">                     </w:t>
      </w:r>
      <w:r>
        <w:rPr>
          <w:rFonts w:hAnsi="宋体"/>
          <w:sz w:val="32"/>
          <w:szCs w:val="32"/>
          <w:highlight w:val="none"/>
        </w:rPr>
        <w:t xml:space="preserve">（比选人名称）: </w:t>
      </w:r>
    </w:p>
    <w:p>
      <w:pPr>
        <w:spacing w:line="560" w:lineRule="exact"/>
        <w:ind w:firstLine="640" w:firstLineChars="200"/>
        <w:jc w:val="left"/>
        <w:rPr>
          <w:rFonts w:hAnsi="宋体"/>
          <w:sz w:val="32"/>
          <w:szCs w:val="32"/>
          <w:highlight w:val="none"/>
        </w:rPr>
      </w:pPr>
      <w:r>
        <w:rPr>
          <w:rFonts w:hAnsi="宋体"/>
          <w:sz w:val="32"/>
          <w:szCs w:val="32"/>
          <w:highlight w:val="none"/>
        </w:rPr>
        <w:t>1．我方己仔细研究了</w:t>
      </w:r>
      <w:r>
        <w:rPr>
          <w:rFonts w:hAnsi="宋体"/>
          <w:sz w:val="32"/>
          <w:szCs w:val="32"/>
          <w:highlight w:val="none"/>
          <w:u w:val="single"/>
        </w:rPr>
        <w:t xml:space="preserve">     （项目名称）</w:t>
      </w:r>
      <w:r>
        <w:rPr>
          <w:rFonts w:hAnsi="宋体"/>
          <w:sz w:val="32"/>
          <w:szCs w:val="32"/>
          <w:highlight w:val="none"/>
        </w:rPr>
        <w:t>比选文件的全部内容，愿意以人民币（大写）</w:t>
      </w:r>
    </w:p>
    <w:p>
      <w:pPr>
        <w:spacing w:line="560" w:lineRule="exact"/>
        <w:ind w:firstLine="640" w:firstLineChars="200"/>
        <w:jc w:val="left"/>
        <w:rPr>
          <w:rFonts w:hAnsi="宋体"/>
          <w:sz w:val="32"/>
          <w:szCs w:val="32"/>
          <w:highlight w:val="none"/>
        </w:rPr>
      </w:pPr>
      <w:r>
        <w:rPr>
          <w:rFonts w:hAnsi="宋体"/>
          <w:sz w:val="32"/>
          <w:szCs w:val="32"/>
          <w:highlight w:val="none"/>
          <w:u w:val="single"/>
        </w:rPr>
        <w:t xml:space="preserve">             </w:t>
      </w:r>
      <w:r>
        <w:rPr>
          <w:rFonts w:hAnsi="宋体"/>
          <w:sz w:val="32"/>
          <w:szCs w:val="32"/>
          <w:highlight w:val="none"/>
        </w:rPr>
        <w:t>小写（￥</w:t>
      </w:r>
      <w:r>
        <w:rPr>
          <w:rFonts w:hAnsi="宋体"/>
          <w:sz w:val="32"/>
          <w:szCs w:val="32"/>
          <w:highlight w:val="none"/>
          <w:u w:val="single"/>
        </w:rPr>
        <w:t xml:space="preserve">            </w:t>
      </w:r>
      <w:r>
        <w:rPr>
          <w:rFonts w:hAnsi="宋体"/>
          <w:sz w:val="32"/>
          <w:szCs w:val="32"/>
          <w:highlight w:val="none"/>
        </w:rPr>
        <w:t>）的比选申请总报价，按合同约定完成工作。</w:t>
      </w:r>
    </w:p>
    <w:p>
      <w:pPr>
        <w:spacing w:line="560" w:lineRule="exact"/>
        <w:ind w:firstLine="640" w:firstLineChars="200"/>
        <w:jc w:val="left"/>
        <w:rPr>
          <w:rFonts w:hAnsi="宋体"/>
          <w:sz w:val="32"/>
          <w:szCs w:val="32"/>
          <w:highlight w:val="none"/>
        </w:rPr>
      </w:pPr>
      <w:r>
        <w:rPr>
          <w:rFonts w:hAnsi="宋体"/>
          <w:sz w:val="32"/>
          <w:szCs w:val="32"/>
          <w:highlight w:val="none"/>
        </w:rPr>
        <w:t>2．我方承诺在比选申请截止之日算起</w:t>
      </w:r>
      <w:r>
        <w:rPr>
          <w:rFonts w:hAnsi="宋体"/>
          <w:sz w:val="32"/>
          <w:szCs w:val="32"/>
          <w:highlight w:val="none"/>
          <w:u w:val="single"/>
        </w:rPr>
        <w:t xml:space="preserve"> 90</w:t>
      </w:r>
      <w:r>
        <w:rPr>
          <w:rFonts w:hAnsi="宋体"/>
          <w:sz w:val="32"/>
          <w:szCs w:val="32"/>
          <w:highlight w:val="none"/>
        </w:rPr>
        <w:t>日历天内不修改、撤销比选申请文件。</w:t>
      </w:r>
    </w:p>
    <w:p>
      <w:pPr>
        <w:spacing w:line="560" w:lineRule="exact"/>
        <w:ind w:firstLine="640" w:firstLineChars="200"/>
        <w:jc w:val="left"/>
        <w:rPr>
          <w:rFonts w:hAnsi="宋体"/>
          <w:sz w:val="32"/>
          <w:szCs w:val="32"/>
          <w:highlight w:val="none"/>
        </w:rPr>
      </w:pPr>
      <w:r>
        <w:rPr>
          <w:rFonts w:hAnsi="宋体"/>
          <w:sz w:val="32"/>
          <w:szCs w:val="32"/>
          <w:highlight w:val="none"/>
        </w:rPr>
        <w:t>3．如我方中选：</w:t>
      </w:r>
    </w:p>
    <w:p>
      <w:pPr>
        <w:spacing w:line="560" w:lineRule="exact"/>
        <w:ind w:firstLine="640" w:firstLineChars="200"/>
        <w:jc w:val="left"/>
        <w:rPr>
          <w:rFonts w:hAnsi="宋体"/>
          <w:sz w:val="32"/>
          <w:szCs w:val="32"/>
          <w:highlight w:val="none"/>
        </w:rPr>
      </w:pPr>
      <w:r>
        <w:rPr>
          <w:rFonts w:hAnsi="宋体"/>
          <w:sz w:val="32"/>
          <w:szCs w:val="32"/>
          <w:highlight w:val="none"/>
        </w:rPr>
        <w:t>(l）我方承诺在收到中选通知书后，在中选通知书规定的期限内与比选人签订合同。</w:t>
      </w:r>
    </w:p>
    <w:p>
      <w:pPr>
        <w:spacing w:line="560" w:lineRule="exact"/>
        <w:ind w:firstLine="640" w:firstLineChars="200"/>
        <w:jc w:val="left"/>
        <w:rPr>
          <w:rFonts w:hAnsi="宋体"/>
          <w:sz w:val="32"/>
          <w:szCs w:val="32"/>
          <w:highlight w:val="none"/>
        </w:rPr>
      </w:pPr>
      <w:r>
        <w:rPr>
          <w:rFonts w:hAnsi="宋体"/>
          <w:sz w:val="32"/>
          <w:szCs w:val="32"/>
          <w:highlight w:val="none"/>
        </w:rPr>
        <w:t>(2）随同本比选申请函递交的比选申请函附录属于合同文件的组成部分。</w:t>
      </w:r>
    </w:p>
    <w:p>
      <w:pPr>
        <w:spacing w:line="560" w:lineRule="exact"/>
        <w:ind w:firstLine="640" w:firstLineChars="200"/>
        <w:jc w:val="left"/>
        <w:rPr>
          <w:rFonts w:hAnsi="宋体"/>
          <w:sz w:val="32"/>
          <w:szCs w:val="32"/>
          <w:highlight w:val="none"/>
        </w:rPr>
      </w:pPr>
      <w:r>
        <w:rPr>
          <w:rFonts w:hAnsi="宋体"/>
          <w:sz w:val="32"/>
          <w:szCs w:val="32"/>
          <w:highlight w:val="none"/>
        </w:rPr>
        <w:t>(3）我方承诺在合同约定的期限内完成并移交全部工作成果。</w:t>
      </w:r>
    </w:p>
    <w:p>
      <w:pPr>
        <w:numPr>
          <w:ilvl w:val="0"/>
          <w:numId w:val="4"/>
        </w:numPr>
        <w:spacing w:line="560" w:lineRule="exact"/>
        <w:ind w:firstLine="640" w:firstLineChars="200"/>
        <w:jc w:val="left"/>
        <w:rPr>
          <w:rFonts w:hAnsi="宋体"/>
          <w:sz w:val="32"/>
          <w:szCs w:val="32"/>
          <w:highlight w:val="none"/>
          <w:u w:val="single"/>
        </w:rPr>
      </w:pPr>
      <w:r>
        <w:rPr>
          <w:rFonts w:hAnsi="宋体"/>
          <w:sz w:val="32"/>
          <w:szCs w:val="32"/>
          <w:highlight w:val="none"/>
        </w:rPr>
        <w:t>质量要求：</w:t>
      </w:r>
      <w:r>
        <w:rPr>
          <w:rFonts w:hAnsi="宋体"/>
          <w:spacing w:val="1"/>
          <w:sz w:val="32"/>
          <w:szCs w:val="32"/>
          <w:highlight w:val="none"/>
        </w:rPr>
        <w:t>按照国家现行规程、规范及比选人的要求。</w:t>
      </w:r>
    </w:p>
    <w:p>
      <w:pPr>
        <w:numPr>
          <w:ilvl w:val="0"/>
          <w:numId w:val="4"/>
        </w:numPr>
        <w:spacing w:line="560" w:lineRule="exact"/>
        <w:ind w:firstLine="640" w:firstLineChars="200"/>
        <w:jc w:val="left"/>
        <w:rPr>
          <w:rFonts w:hAnsi="宋体"/>
          <w:sz w:val="32"/>
          <w:szCs w:val="32"/>
          <w:highlight w:val="none"/>
        </w:rPr>
      </w:pPr>
      <w:r>
        <w:rPr>
          <w:rFonts w:hAnsi="宋体"/>
          <w:sz w:val="32"/>
          <w:szCs w:val="32"/>
          <w:highlight w:val="none"/>
        </w:rPr>
        <w:t>完全响应第四章合同条款及格式要求。</w:t>
      </w:r>
    </w:p>
    <w:p>
      <w:pPr>
        <w:spacing w:line="560" w:lineRule="exact"/>
        <w:ind w:firstLine="640" w:firstLineChars="200"/>
        <w:jc w:val="left"/>
        <w:rPr>
          <w:rFonts w:hAnsi="宋体"/>
          <w:sz w:val="32"/>
          <w:szCs w:val="32"/>
          <w:highlight w:val="none"/>
        </w:rPr>
      </w:pPr>
      <w:r>
        <w:rPr>
          <w:rFonts w:hAnsi="宋体"/>
          <w:sz w:val="32"/>
          <w:szCs w:val="32"/>
          <w:highlight w:val="none"/>
        </w:rPr>
        <w:t>4 .</w:t>
      </w:r>
      <w:r>
        <w:rPr>
          <w:rFonts w:hAnsi="宋体"/>
          <w:sz w:val="32"/>
          <w:szCs w:val="32"/>
          <w:highlight w:val="none"/>
          <w:u w:val="single"/>
        </w:rPr>
        <w:t xml:space="preserve">                     </w:t>
      </w:r>
      <w:r>
        <w:rPr>
          <w:rFonts w:hAnsi="宋体"/>
          <w:sz w:val="32"/>
          <w:szCs w:val="32"/>
          <w:highlight w:val="none"/>
        </w:rPr>
        <w:t>（其他补充说明）。</w:t>
      </w:r>
    </w:p>
    <w:p>
      <w:pPr>
        <w:spacing w:line="560" w:lineRule="exact"/>
        <w:ind w:firstLine="640" w:firstLineChars="200"/>
        <w:jc w:val="left"/>
        <w:rPr>
          <w:rFonts w:hAnsi="宋体"/>
          <w:sz w:val="32"/>
          <w:szCs w:val="32"/>
          <w:highlight w:val="none"/>
        </w:rPr>
      </w:pPr>
    </w:p>
    <w:p>
      <w:pPr>
        <w:spacing w:line="560" w:lineRule="exact"/>
        <w:ind w:firstLine="640" w:firstLineChars="200"/>
        <w:jc w:val="left"/>
        <w:rPr>
          <w:rFonts w:hAnsi="宋体"/>
          <w:sz w:val="32"/>
          <w:szCs w:val="32"/>
          <w:highlight w:val="none"/>
        </w:rPr>
      </w:pPr>
      <w:r>
        <w:rPr>
          <w:rFonts w:hAnsi="宋体"/>
          <w:sz w:val="32"/>
          <w:szCs w:val="32"/>
          <w:highlight w:val="none"/>
        </w:rPr>
        <w:t>比选申请人：</w:t>
      </w:r>
      <w:r>
        <w:rPr>
          <w:rFonts w:hAnsi="宋体"/>
          <w:sz w:val="32"/>
          <w:szCs w:val="32"/>
          <w:highlight w:val="none"/>
          <w:u w:val="single"/>
        </w:rPr>
        <w:t xml:space="preserve">              </w:t>
      </w:r>
      <w:r>
        <w:rPr>
          <w:rFonts w:hAnsi="宋体"/>
          <w:sz w:val="32"/>
          <w:szCs w:val="32"/>
          <w:highlight w:val="none"/>
        </w:rPr>
        <w:t>（盖单位章）</w:t>
      </w:r>
    </w:p>
    <w:p>
      <w:pPr>
        <w:spacing w:line="560" w:lineRule="exact"/>
        <w:ind w:firstLine="2880" w:firstLineChars="900"/>
        <w:jc w:val="left"/>
        <w:rPr>
          <w:rFonts w:hAnsi="宋体"/>
          <w:sz w:val="32"/>
          <w:szCs w:val="32"/>
          <w:highlight w:val="none"/>
        </w:rPr>
      </w:pPr>
      <w:r>
        <w:rPr>
          <w:rFonts w:hAnsi="宋体"/>
          <w:sz w:val="32"/>
          <w:szCs w:val="32"/>
          <w:highlight w:val="none"/>
        </w:rPr>
        <w:t>法定代表人或其委托代理人：（签字）</w:t>
      </w:r>
      <w:r>
        <w:rPr>
          <w:rFonts w:hAnsi="宋体"/>
          <w:sz w:val="32"/>
          <w:szCs w:val="32"/>
          <w:highlight w:val="none"/>
          <w:u w:val="single"/>
        </w:rPr>
        <w:t xml:space="preserve">        </w:t>
      </w:r>
    </w:p>
    <w:p>
      <w:pPr>
        <w:spacing w:line="560" w:lineRule="exact"/>
        <w:ind w:left="3060" w:leftChars="900"/>
        <w:jc w:val="left"/>
        <w:rPr>
          <w:rFonts w:hAnsi="宋体"/>
          <w:sz w:val="32"/>
          <w:szCs w:val="32"/>
          <w:highlight w:val="none"/>
        </w:rPr>
      </w:pPr>
      <w:r>
        <w:rPr>
          <w:rFonts w:hAnsi="宋体"/>
          <w:sz w:val="32"/>
          <w:szCs w:val="32"/>
          <w:highlight w:val="none"/>
        </w:rPr>
        <w:t>电话：</w:t>
      </w:r>
      <w:r>
        <w:rPr>
          <w:rFonts w:hAnsi="宋体"/>
          <w:sz w:val="32"/>
          <w:szCs w:val="32"/>
          <w:highlight w:val="none"/>
          <w:u w:val="single"/>
        </w:rPr>
        <w:t xml:space="preserve">                                 </w:t>
      </w:r>
    </w:p>
    <w:p>
      <w:pPr>
        <w:spacing w:line="560" w:lineRule="exact"/>
        <w:ind w:firstLine="4800" w:firstLineChars="1500"/>
        <w:jc w:val="left"/>
        <w:rPr>
          <w:rFonts w:hAnsi="宋体"/>
          <w:sz w:val="32"/>
          <w:szCs w:val="32"/>
          <w:highlight w:val="none"/>
        </w:rPr>
      </w:pPr>
      <w:r>
        <w:rPr>
          <w:rFonts w:hAnsi="宋体"/>
          <w:sz w:val="32"/>
          <w:szCs w:val="32"/>
          <w:highlight w:val="none"/>
        </w:rPr>
        <w:t>年</w:t>
      </w:r>
      <w:r>
        <w:rPr>
          <w:rFonts w:hAnsi="宋体"/>
          <w:sz w:val="32"/>
          <w:szCs w:val="32"/>
          <w:highlight w:val="none"/>
          <w:u w:val="single"/>
        </w:rPr>
        <w:t xml:space="preserve">   </w:t>
      </w:r>
      <w:r>
        <w:rPr>
          <w:rFonts w:hint="eastAsia" w:hAnsi="宋体"/>
          <w:sz w:val="32"/>
          <w:szCs w:val="32"/>
          <w:highlight w:val="none"/>
          <w:u w:val="single"/>
        </w:rPr>
        <w:t xml:space="preserve">    </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int="eastAsia" w:hAnsi="宋体"/>
          <w:sz w:val="32"/>
          <w:szCs w:val="32"/>
          <w:highlight w:val="none"/>
          <w:u w:val="single"/>
        </w:rPr>
        <w:t xml:space="preserve">    </w:t>
      </w:r>
      <w:r>
        <w:rPr>
          <w:rFonts w:hAnsi="宋体"/>
          <w:sz w:val="32"/>
          <w:szCs w:val="32"/>
          <w:highlight w:val="none"/>
        </w:rPr>
        <w:t>日</w:t>
      </w:r>
      <w:r>
        <w:rPr>
          <w:rFonts w:hAnsi="宋体"/>
          <w:sz w:val="32"/>
          <w:szCs w:val="32"/>
          <w:highlight w:val="none"/>
          <w:u w:val="single"/>
        </w:rPr>
        <w:t xml:space="preserve">                          </w:t>
      </w:r>
    </w:p>
    <w:p>
      <w:pPr>
        <w:pStyle w:val="5"/>
        <w:spacing w:line="560" w:lineRule="exact"/>
        <w:jc w:val="center"/>
        <w:rPr>
          <w:rFonts w:ascii="宋体" w:hAnsi="宋体" w:cs="方正小标宋_GBK"/>
          <w:b w:val="0"/>
          <w:bCs/>
          <w:highlight w:val="none"/>
        </w:rPr>
      </w:pPr>
      <w:bookmarkStart w:id="258" w:name="_Toc446487149"/>
      <w:bookmarkStart w:id="259" w:name="_Toc261593925"/>
      <w:bookmarkStart w:id="260" w:name="_Toc184635139"/>
      <w:bookmarkStart w:id="261" w:name="_Toc5018"/>
      <w:bookmarkStart w:id="262" w:name="_Toc7197"/>
      <w:bookmarkStart w:id="263" w:name="_Toc31748"/>
      <w:bookmarkStart w:id="264" w:name="_Toc409528478"/>
      <w:bookmarkStart w:id="265" w:name="_Toc408317170"/>
      <w:r>
        <w:rPr>
          <w:rFonts w:ascii="宋体" w:hAnsi="宋体" w:cs="方正小标宋_GBK"/>
          <w:b w:val="0"/>
          <w:bCs/>
          <w:highlight w:val="none"/>
        </w:rPr>
        <w:t>二、法定代表人身份证明</w:t>
      </w:r>
      <w:bookmarkEnd w:id="258"/>
      <w:bookmarkEnd w:id="259"/>
      <w:bookmarkEnd w:id="260"/>
      <w:bookmarkEnd w:id="261"/>
      <w:bookmarkEnd w:id="262"/>
      <w:bookmarkEnd w:id="263"/>
      <w:bookmarkEnd w:id="264"/>
      <w:bookmarkEnd w:id="265"/>
    </w:p>
    <w:p>
      <w:pPr>
        <w:spacing w:line="560" w:lineRule="exact"/>
        <w:ind w:firstLine="680" w:firstLineChars="200"/>
        <w:rPr>
          <w:rFonts w:hAnsi="宋体"/>
          <w:szCs w:val="21"/>
          <w:highlight w:val="none"/>
        </w:rPr>
      </w:pPr>
    </w:p>
    <w:p>
      <w:pPr>
        <w:spacing w:line="560" w:lineRule="exact"/>
        <w:ind w:firstLine="640" w:firstLineChars="200"/>
        <w:rPr>
          <w:rFonts w:hAnsi="宋体"/>
          <w:sz w:val="32"/>
          <w:szCs w:val="32"/>
          <w:highlight w:val="none"/>
        </w:rPr>
      </w:pPr>
      <w:r>
        <w:rPr>
          <w:rFonts w:hAnsi="宋体"/>
          <w:sz w:val="32"/>
          <w:szCs w:val="32"/>
          <w:highlight w:val="none"/>
        </w:rPr>
        <w:t>比选申请人名称：</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单位性质：</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地址：</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成立时间：</w:t>
      </w: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p>
      <w:pPr>
        <w:spacing w:line="560" w:lineRule="exact"/>
        <w:ind w:firstLine="640" w:firstLineChars="200"/>
        <w:rPr>
          <w:rFonts w:hAnsi="宋体"/>
          <w:sz w:val="32"/>
          <w:szCs w:val="32"/>
          <w:highlight w:val="none"/>
        </w:rPr>
      </w:pPr>
      <w:r>
        <w:rPr>
          <w:rFonts w:hAnsi="宋体"/>
          <w:sz w:val="32"/>
          <w:szCs w:val="32"/>
          <w:highlight w:val="none"/>
        </w:rPr>
        <w:t>经营期限：</w:t>
      </w:r>
      <w:r>
        <w:rPr>
          <w:rFonts w:hAnsi="宋体"/>
          <w:sz w:val="32"/>
          <w:szCs w:val="32"/>
          <w:highlight w:val="none"/>
          <w:u w:val="single"/>
        </w:rPr>
        <w:t xml:space="preserve">                                </w:t>
      </w:r>
      <w:r>
        <w:rPr>
          <w:rFonts w:hAnsi="宋体"/>
          <w:sz w:val="32"/>
          <w:szCs w:val="32"/>
          <w:highlight w:val="none"/>
        </w:rPr>
        <w:t xml:space="preserve"> </w:t>
      </w:r>
    </w:p>
    <w:p>
      <w:pPr>
        <w:spacing w:line="560" w:lineRule="exact"/>
        <w:ind w:firstLine="640" w:firstLineChars="200"/>
        <w:rPr>
          <w:rFonts w:hAnsi="宋体"/>
          <w:sz w:val="32"/>
          <w:szCs w:val="32"/>
          <w:highlight w:val="none"/>
        </w:rPr>
      </w:pPr>
      <w:r>
        <w:rPr>
          <w:rFonts w:hAnsi="宋体"/>
          <w:sz w:val="32"/>
          <w:szCs w:val="32"/>
          <w:highlight w:val="none"/>
        </w:rPr>
        <w:t>姓名：</w:t>
      </w:r>
      <w:r>
        <w:rPr>
          <w:rFonts w:hAnsi="宋体"/>
          <w:sz w:val="32"/>
          <w:szCs w:val="32"/>
          <w:highlight w:val="none"/>
          <w:u w:val="single"/>
        </w:rPr>
        <w:t xml:space="preserve">           </w:t>
      </w:r>
      <w:r>
        <w:rPr>
          <w:rFonts w:hAnsi="宋体"/>
          <w:sz w:val="32"/>
          <w:szCs w:val="32"/>
          <w:highlight w:val="none"/>
        </w:rPr>
        <w:t>性别：</w:t>
      </w:r>
      <w:r>
        <w:rPr>
          <w:rFonts w:hAnsi="宋体"/>
          <w:sz w:val="32"/>
          <w:szCs w:val="32"/>
          <w:highlight w:val="none"/>
          <w:u w:val="single"/>
        </w:rPr>
        <w:t xml:space="preserve">        </w:t>
      </w:r>
      <w:r>
        <w:rPr>
          <w:rFonts w:hAnsi="宋体"/>
          <w:sz w:val="32"/>
          <w:szCs w:val="32"/>
          <w:highlight w:val="none"/>
        </w:rPr>
        <w:t>年龄：</w:t>
      </w:r>
      <w:r>
        <w:rPr>
          <w:rFonts w:hAnsi="宋体"/>
          <w:sz w:val="32"/>
          <w:szCs w:val="32"/>
          <w:highlight w:val="none"/>
          <w:u w:val="single"/>
        </w:rPr>
        <w:t xml:space="preserve">    </w:t>
      </w:r>
      <w:r>
        <w:rPr>
          <w:rFonts w:hAnsi="宋体"/>
          <w:sz w:val="32"/>
          <w:szCs w:val="32"/>
          <w:highlight w:val="none"/>
        </w:rPr>
        <w:t>职务：</w:t>
      </w:r>
      <w:r>
        <w:rPr>
          <w:rFonts w:hAnsi="宋体"/>
          <w:sz w:val="32"/>
          <w:szCs w:val="32"/>
          <w:highlight w:val="none"/>
          <w:u w:val="single"/>
        </w:rPr>
        <w:t xml:space="preserve">       </w:t>
      </w:r>
      <w:r>
        <w:rPr>
          <w:rFonts w:hAnsi="宋体"/>
          <w:sz w:val="32"/>
          <w:szCs w:val="32"/>
          <w:highlight w:val="none"/>
        </w:rPr>
        <w:t>_</w:t>
      </w:r>
    </w:p>
    <w:p>
      <w:pPr>
        <w:spacing w:line="560" w:lineRule="exact"/>
        <w:ind w:firstLine="640" w:firstLineChars="200"/>
        <w:rPr>
          <w:rFonts w:hAnsi="宋体"/>
          <w:sz w:val="32"/>
          <w:szCs w:val="32"/>
          <w:highlight w:val="none"/>
        </w:rPr>
      </w:pPr>
      <w:r>
        <w:rPr>
          <w:rFonts w:hAnsi="宋体"/>
          <w:sz w:val="32"/>
          <w:szCs w:val="32"/>
          <w:highlight w:val="none"/>
        </w:rPr>
        <w:t>系</w:t>
      </w:r>
      <w:r>
        <w:rPr>
          <w:rFonts w:hAnsi="宋体"/>
          <w:sz w:val="32"/>
          <w:szCs w:val="32"/>
          <w:highlight w:val="none"/>
          <w:u w:val="single"/>
        </w:rPr>
        <w:t xml:space="preserve">                                </w:t>
      </w:r>
      <w:r>
        <w:rPr>
          <w:rFonts w:hAnsi="宋体"/>
          <w:sz w:val="32"/>
          <w:szCs w:val="32"/>
          <w:highlight w:val="none"/>
        </w:rPr>
        <w:t>（比选申请人名称）的法定代表人。</w:t>
      </w:r>
    </w:p>
    <w:p>
      <w:pPr>
        <w:spacing w:line="560" w:lineRule="exact"/>
        <w:ind w:firstLine="1280" w:firstLineChars="400"/>
        <w:rPr>
          <w:rFonts w:hAnsi="宋体"/>
          <w:sz w:val="32"/>
          <w:szCs w:val="32"/>
          <w:highlight w:val="none"/>
        </w:rPr>
      </w:pPr>
      <w:r>
        <w:rPr>
          <w:rFonts w:hAnsi="宋体"/>
          <w:sz w:val="32"/>
          <w:szCs w:val="32"/>
          <w:highlight w:val="none"/>
        </w:rPr>
        <w:t>特此证明。</w:t>
      </w:r>
    </w:p>
    <w:p>
      <w:pPr>
        <w:spacing w:line="560" w:lineRule="exact"/>
        <w:ind w:firstLine="640" w:firstLineChars="200"/>
        <w:rPr>
          <w:rFonts w:hAnsi="宋体"/>
          <w:sz w:val="32"/>
          <w:szCs w:val="32"/>
          <w:highlight w:val="none"/>
        </w:rPr>
      </w:pPr>
    </w:p>
    <w:p>
      <w:pPr>
        <w:spacing w:line="560" w:lineRule="exact"/>
        <w:ind w:firstLine="1280" w:firstLineChars="400"/>
        <w:rPr>
          <w:rFonts w:hAnsi="宋体"/>
          <w:sz w:val="32"/>
          <w:szCs w:val="32"/>
          <w:highlight w:val="none"/>
        </w:rPr>
      </w:pPr>
      <w:r>
        <w:rPr>
          <w:rFonts w:hAnsi="宋体"/>
          <w:sz w:val="32"/>
          <w:szCs w:val="32"/>
          <w:highlight w:val="none"/>
        </w:rPr>
        <w:t>附：法定代表人身份证复印件</w:t>
      </w:r>
    </w:p>
    <w:tbl>
      <w:tblPr>
        <w:tblStyle w:val="16"/>
        <w:tblW w:w="5385" w:type="dxa"/>
        <w:tblInd w:w="1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5385" w:type="dxa"/>
          </w:tcPr>
          <w:p>
            <w:pPr>
              <w:spacing w:line="560" w:lineRule="exact"/>
              <w:jc w:val="center"/>
              <w:rPr>
                <w:rFonts w:hAnsi="宋体"/>
                <w:sz w:val="32"/>
                <w:szCs w:val="32"/>
                <w:highlight w:val="none"/>
              </w:rPr>
            </w:pPr>
          </w:p>
          <w:p>
            <w:pPr>
              <w:spacing w:line="560" w:lineRule="exact"/>
              <w:jc w:val="center"/>
              <w:rPr>
                <w:rFonts w:hAnsi="宋体"/>
                <w:sz w:val="32"/>
                <w:szCs w:val="32"/>
                <w:highlight w:val="none"/>
              </w:rPr>
            </w:pPr>
          </w:p>
          <w:p>
            <w:pPr>
              <w:spacing w:line="560" w:lineRule="exact"/>
              <w:jc w:val="center"/>
              <w:rPr>
                <w:rFonts w:hAnsi="宋体"/>
                <w:sz w:val="32"/>
                <w:szCs w:val="32"/>
                <w:highlight w:val="none"/>
              </w:rPr>
            </w:pPr>
            <w:r>
              <w:rPr>
                <w:rFonts w:hAnsi="宋体"/>
                <w:sz w:val="32"/>
                <w:szCs w:val="32"/>
                <w:highlight w:val="none"/>
              </w:rPr>
              <w:t>法定代表人身份证复印件</w:t>
            </w:r>
          </w:p>
        </w:tc>
      </w:tr>
    </w:tbl>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p>
    <w:p>
      <w:pPr>
        <w:spacing w:line="560" w:lineRule="exact"/>
        <w:ind w:firstLine="2240" w:firstLineChars="700"/>
        <w:rPr>
          <w:rFonts w:hAnsi="宋体"/>
          <w:sz w:val="32"/>
          <w:szCs w:val="32"/>
          <w:highlight w:val="none"/>
        </w:rPr>
      </w:pPr>
      <w:r>
        <w:rPr>
          <w:rFonts w:hAnsi="宋体"/>
          <w:sz w:val="32"/>
          <w:szCs w:val="32"/>
          <w:highlight w:val="none"/>
        </w:rPr>
        <w:t>比选申请人：</w:t>
      </w:r>
      <w:r>
        <w:rPr>
          <w:rFonts w:hAnsi="宋体"/>
          <w:sz w:val="32"/>
          <w:szCs w:val="32"/>
          <w:highlight w:val="none"/>
          <w:u w:val="single"/>
        </w:rPr>
        <w:t xml:space="preserve">                      </w:t>
      </w:r>
      <w:r>
        <w:rPr>
          <w:rFonts w:hAnsi="宋体"/>
          <w:sz w:val="32"/>
          <w:szCs w:val="32"/>
          <w:highlight w:val="none"/>
        </w:rPr>
        <w:t>（盖单位章）</w:t>
      </w:r>
    </w:p>
    <w:p>
      <w:pPr>
        <w:spacing w:line="560" w:lineRule="exact"/>
        <w:ind w:firstLine="3520" w:firstLineChars="1100"/>
        <w:rPr>
          <w:rFonts w:hAnsi="宋体"/>
          <w:sz w:val="32"/>
          <w:szCs w:val="32"/>
          <w:highlight w:val="none"/>
        </w:rPr>
      </w:pPr>
      <w:r>
        <w:rPr>
          <w:rFonts w:hAnsi="宋体"/>
          <w:sz w:val="32"/>
          <w:szCs w:val="32"/>
          <w:highlight w:val="none"/>
          <w:u w:val="single"/>
        </w:rPr>
        <w:t xml:space="preserve">        </w:t>
      </w:r>
      <w:r>
        <w:rPr>
          <w:rFonts w:hAnsi="宋体"/>
          <w:sz w:val="32"/>
          <w:szCs w:val="32"/>
          <w:highlight w:val="none"/>
        </w:rPr>
        <w:t>年</w:t>
      </w:r>
      <w:r>
        <w:rPr>
          <w:rFonts w:hAnsi="宋体"/>
          <w:sz w:val="32"/>
          <w:szCs w:val="32"/>
          <w:highlight w:val="none"/>
          <w:u w:val="single"/>
        </w:rPr>
        <w:t xml:space="preserve">    </w:t>
      </w:r>
      <w:r>
        <w:rPr>
          <w:rFonts w:hAnsi="宋体"/>
          <w:sz w:val="32"/>
          <w:szCs w:val="32"/>
          <w:highlight w:val="none"/>
        </w:rPr>
        <w:t>月</w:t>
      </w:r>
      <w:r>
        <w:rPr>
          <w:rFonts w:hAnsi="宋体"/>
          <w:sz w:val="32"/>
          <w:szCs w:val="32"/>
          <w:highlight w:val="none"/>
          <w:u w:val="single"/>
        </w:rPr>
        <w:t xml:space="preserve">     </w:t>
      </w:r>
      <w:r>
        <w:rPr>
          <w:rFonts w:hAnsi="宋体"/>
          <w:sz w:val="32"/>
          <w:szCs w:val="32"/>
          <w:highlight w:val="none"/>
        </w:rPr>
        <w:t>日</w:t>
      </w:r>
    </w:p>
    <w:p>
      <w:pPr>
        <w:spacing w:line="560" w:lineRule="exact"/>
        <w:ind w:firstLine="9120" w:firstLineChars="2850"/>
        <w:rPr>
          <w:rFonts w:hAnsi="宋体"/>
          <w:sz w:val="32"/>
          <w:szCs w:val="32"/>
          <w:highlight w:val="none"/>
        </w:rPr>
      </w:pPr>
    </w:p>
    <w:p>
      <w:pPr>
        <w:pStyle w:val="5"/>
        <w:spacing w:line="560" w:lineRule="exact"/>
        <w:jc w:val="center"/>
        <w:rPr>
          <w:rFonts w:ascii="宋体" w:hAnsi="宋体" w:cs="方正小标宋_GBK"/>
          <w:b w:val="0"/>
          <w:bCs/>
          <w:highlight w:val="none"/>
        </w:rPr>
      </w:pPr>
      <w:bookmarkStart w:id="266" w:name="_Toc446487150"/>
      <w:bookmarkStart w:id="267" w:name="_Toc261593926"/>
      <w:bookmarkStart w:id="268" w:name="_Toc16650"/>
      <w:bookmarkStart w:id="269" w:name="_Toc1024"/>
      <w:bookmarkStart w:id="270" w:name="_Toc408317171"/>
      <w:bookmarkStart w:id="271" w:name="_Toc184635140"/>
      <w:bookmarkStart w:id="272" w:name="_Toc28374"/>
      <w:bookmarkStart w:id="273" w:name="_Toc409528479"/>
      <w:r>
        <w:rPr>
          <w:rFonts w:ascii="宋体" w:hAnsi="宋体" w:cs="方正小标宋_GBK"/>
          <w:b w:val="0"/>
          <w:bCs/>
          <w:highlight w:val="none"/>
        </w:rPr>
        <w:t>三、授权委托书</w:t>
      </w:r>
      <w:bookmarkEnd w:id="266"/>
      <w:bookmarkEnd w:id="267"/>
      <w:bookmarkEnd w:id="268"/>
      <w:bookmarkEnd w:id="269"/>
      <w:bookmarkEnd w:id="270"/>
      <w:bookmarkEnd w:id="271"/>
      <w:bookmarkEnd w:id="272"/>
      <w:bookmarkEnd w:id="273"/>
    </w:p>
    <w:p>
      <w:pPr>
        <w:spacing w:line="560" w:lineRule="exact"/>
        <w:ind w:firstLine="420" w:firstLineChars="200"/>
        <w:rPr>
          <w:rFonts w:hAnsi="宋体"/>
          <w:sz w:val="21"/>
          <w:szCs w:val="21"/>
          <w:highlight w:val="none"/>
        </w:rPr>
      </w:pPr>
    </w:p>
    <w:p>
      <w:pPr>
        <w:spacing w:line="560" w:lineRule="exact"/>
        <w:ind w:firstLine="640" w:firstLineChars="200"/>
        <w:rPr>
          <w:rFonts w:hAnsi="宋体"/>
          <w:sz w:val="32"/>
          <w:szCs w:val="32"/>
          <w:highlight w:val="none"/>
        </w:rPr>
      </w:pPr>
      <w:r>
        <w:rPr>
          <w:rFonts w:hAnsi="宋体"/>
          <w:sz w:val="32"/>
          <w:szCs w:val="32"/>
          <w:highlight w:val="none"/>
        </w:rPr>
        <w:t>本人（法定代表人姓名）系（比选申请人名称）的法定代表人，现委托（委托代理人姓名）为我方代理人。代理人根据授权，以我方名义签署、澄清、说明、补正、递交、撤回、修改（项目名称）比选申请文件、签订合同和处理有关事宜，其法律后果由我方承担。</w:t>
      </w:r>
    </w:p>
    <w:p>
      <w:pPr>
        <w:spacing w:line="560" w:lineRule="exact"/>
        <w:ind w:firstLine="640" w:firstLineChars="200"/>
        <w:rPr>
          <w:rFonts w:hAnsi="宋体"/>
          <w:sz w:val="32"/>
          <w:szCs w:val="32"/>
          <w:highlight w:val="none"/>
        </w:rPr>
      </w:pPr>
      <w:r>
        <w:rPr>
          <w:rFonts w:hAnsi="宋体"/>
          <w:sz w:val="32"/>
          <w:szCs w:val="32"/>
          <w:highlight w:val="none"/>
        </w:rPr>
        <w:t>委托期限：在撤销授权的书面通知到达以前，本授权书一直有效。</w:t>
      </w:r>
    </w:p>
    <w:p>
      <w:pPr>
        <w:spacing w:line="560" w:lineRule="exact"/>
        <w:ind w:firstLine="640" w:firstLineChars="200"/>
        <w:rPr>
          <w:rFonts w:hAnsi="宋体"/>
          <w:sz w:val="32"/>
          <w:szCs w:val="32"/>
          <w:highlight w:val="none"/>
        </w:rPr>
      </w:pPr>
      <w:r>
        <w:rPr>
          <w:rFonts w:hAnsi="宋体"/>
          <w:sz w:val="32"/>
          <w:szCs w:val="32"/>
          <w:highlight w:val="none"/>
        </w:rPr>
        <w:t>代理人无转委托权。</w:t>
      </w:r>
    </w:p>
    <w:p>
      <w:pPr>
        <w:spacing w:line="560" w:lineRule="exact"/>
        <w:ind w:firstLine="640" w:firstLineChars="200"/>
        <w:rPr>
          <w:rFonts w:hAnsi="宋体"/>
          <w:sz w:val="32"/>
          <w:szCs w:val="32"/>
          <w:highlight w:val="none"/>
        </w:rPr>
      </w:pPr>
    </w:p>
    <w:p>
      <w:pPr>
        <w:spacing w:line="560" w:lineRule="exact"/>
        <w:ind w:firstLine="640" w:firstLineChars="200"/>
        <w:rPr>
          <w:rFonts w:hAnsi="宋体"/>
          <w:sz w:val="32"/>
          <w:szCs w:val="32"/>
          <w:highlight w:val="none"/>
        </w:rPr>
      </w:pPr>
      <w:r>
        <w:rPr>
          <w:rFonts w:hAnsi="宋体"/>
          <w:sz w:val="32"/>
          <w:szCs w:val="32"/>
          <w:highlight w:val="none"/>
        </w:rPr>
        <w:t>附：法定代表人及委托代理人的身份证复印件</w:t>
      </w:r>
    </w:p>
    <w:tbl>
      <w:tblPr>
        <w:tblStyle w:val="16"/>
        <w:tblW w:w="9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1343"/>
        <w:gridCol w:w="3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0" w:hRule="atLeast"/>
        </w:trPr>
        <w:tc>
          <w:tcPr>
            <w:tcW w:w="3985" w:type="dxa"/>
            <w:vAlign w:val="center"/>
          </w:tcPr>
          <w:p>
            <w:pPr>
              <w:snapToGrid w:val="0"/>
              <w:spacing w:line="560" w:lineRule="exact"/>
              <w:jc w:val="center"/>
              <w:rPr>
                <w:rFonts w:hAnsi="宋体"/>
                <w:sz w:val="32"/>
                <w:szCs w:val="32"/>
                <w:highlight w:val="none"/>
              </w:rPr>
            </w:pPr>
            <w:r>
              <w:rPr>
                <w:rFonts w:hAnsi="宋体"/>
                <w:sz w:val="32"/>
                <w:szCs w:val="32"/>
                <w:highlight w:val="none"/>
              </w:rPr>
              <w:t>法定代表人身份证复印件</w:t>
            </w:r>
          </w:p>
        </w:tc>
        <w:tc>
          <w:tcPr>
            <w:tcW w:w="1343" w:type="dxa"/>
            <w:tcBorders>
              <w:top w:val="nil"/>
              <w:bottom w:val="nil"/>
            </w:tcBorders>
          </w:tcPr>
          <w:p>
            <w:pPr>
              <w:snapToGrid w:val="0"/>
              <w:spacing w:line="560" w:lineRule="exact"/>
              <w:jc w:val="center"/>
              <w:rPr>
                <w:rFonts w:hAnsi="宋体"/>
                <w:sz w:val="32"/>
                <w:szCs w:val="32"/>
                <w:highlight w:val="none"/>
              </w:rPr>
            </w:pPr>
          </w:p>
        </w:tc>
        <w:tc>
          <w:tcPr>
            <w:tcW w:w="3845" w:type="dxa"/>
            <w:vAlign w:val="center"/>
          </w:tcPr>
          <w:p>
            <w:pPr>
              <w:snapToGrid w:val="0"/>
              <w:spacing w:line="560" w:lineRule="exact"/>
              <w:jc w:val="center"/>
              <w:rPr>
                <w:rFonts w:hAnsi="宋体"/>
                <w:sz w:val="32"/>
                <w:szCs w:val="32"/>
                <w:highlight w:val="none"/>
              </w:rPr>
            </w:pPr>
            <w:r>
              <w:rPr>
                <w:rFonts w:hAnsi="宋体"/>
                <w:sz w:val="32"/>
                <w:szCs w:val="32"/>
                <w:highlight w:val="none"/>
              </w:rPr>
              <w:t>委托代理人身份证复印件</w:t>
            </w:r>
          </w:p>
        </w:tc>
      </w:tr>
    </w:tbl>
    <w:p>
      <w:pPr>
        <w:spacing w:line="560" w:lineRule="exact"/>
        <w:rPr>
          <w:rFonts w:hAnsi="宋体"/>
          <w:sz w:val="32"/>
          <w:szCs w:val="32"/>
          <w:highlight w:val="none"/>
        </w:rPr>
      </w:pPr>
    </w:p>
    <w:p>
      <w:pPr>
        <w:spacing w:line="560" w:lineRule="exact"/>
        <w:ind w:firstLine="4480" w:firstLineChars="1400"/>
        <w:rPr>
          <w:rFonts w:hAnsi="宋体"/>
          <w:sz w:val="32"/>
          <w:szCs w:val="32"/>
          <w:highlight w:val="none"/>
        </w:rPr>
      </w:pPr>
      <w:r>
        <w:rPr>
          <w:rFonts w:hAnsi="宋体"/>
          <w:sz w:val="32"/>
          <w:szCs w:val="32"/>
          <w:highlight w:val="none"/>
        </w:rPr>
        <w:t>比选申请人：（盖单位章）</w:t>
      </w:r>
    </w:p>
    <w:p>
      <w:pPr>
        <w:spacing w:line="560" w:lineRule="exact"/>
        <w:ind w:firstLine="4480" w:firstLineChars="1400"/>
        <w:rPr>
          <w:rFonts w:hAnsi="宋体"/>
          <w:sz w:val="32"/>
          <w:szCs w:val="32"/>
          <w:highlight w:val="none"/>
        </w:rPr>
      </w:pPr>
      <w:r>
        <w:rPr>
          <w:rFonts w:hAnsi="宋体"/>
          <w:sz w:val="32"/>
          <w:szCs w:val="32"/>
          <w:highlight w:val="none"/>
        </w:rPr>
        <w:t>法定代表人：（签字）</w:t>
      </w:r>
    </w:p>
    <w:p>
      <w:pPr>
        <w:spacing w:line="560" w:lineRule="exact"/>
        <w:ind w:firstLine="4480" w:firstLineChars="1400"/>
        <w:rPr>
          <w:rFonts w:hAnsi="宋体"/>
          <w:sz w:val="32"/>
          <w:szCs w:val="32"/>
          <w:highlight w:val="none"/>
        </w:rPr>
      </w:pPr>
      <w:r>
        <w:rPr>
          <w:rFonts w:hAnsi="宋体"/>
          <w:sz w:val="32"/>
          <w:szCs w:val="32"/>
          <w:highlight w:val="none"/>
        </w:rPr>
        <w:t>委托代理人：（签字）</w:t>
      </w:r>
    </w:p>
    <w:p>
      <w:pPr>
        <w:spacing w:line="560" w:lineRule="exact"/>
        <w:ind w:firstLine="4480" w:firstLineChars="1400"/>
        <w:rPr>
          <w:rFonts w:hAnsi="宋体"/>
          <w:sz w:val="32"/>
          <w:szCs w:val="32"/>
          <w:highlight w:val="none"/>
        </w:rPr>
      </w:pPr>
      <w:r>
        <w:rPr>
          <w:rFonts w:hint="eastAsia" w:hAnsi="宋体"/>
          <w:sz w:val="32"/>
          <w:szCs w:val="32"/>
          <w:highlight w:val="none"/>
        </w:rPr>
        <w:t>联系电话</w:t>
      </w:r>
      <w:r>
        <w:rPr>
          <w:rFonts w:hAnsi="宋体"/>
          <w:sz w:val="32"/>
          <w:szCs w:val="32"/>
          <w:highlight w:val="none"/>
        </w:rPr>
        <w:t>：</w:t>
      </w:r>
    </w:p>
    <w:p>
      <w:pPr>
        <w:spacing w:line="560" w:lineRule="exact"/>
        <w:ind w:firstLine="5440" w:firstLineChars="1700"/>
        <w:rPr>
          <w:rFonts w:hAnsi="宋体"/>
          <w:sz w:val="32"/>
          <w:szCs w:val="32"/>
          <w:highlight w:val="none"/>
        </w:rPr>
      </w:pPr>
      <w:r>
        <w:rPr>
          <w:rFonts w:hAnsi="宋体"/>
          <w:sz w:val="32"/>
          <w:szCs w:val="32"/>
          <w:highlight w:val="none"/>
        </w:rPr>
        <w:t>年   月   日</w:t>
      </w:r>
    </w:p>
    <w:p>
      <w:pPr>
        <w:spacing w:line="560" w:lineRule="exact"/>
        <w:rPr>
          <w:rFonts w:hAnsi="宋体"/>
          <w:sz w:val="21"/>
          <w:szCs w:val="21"/>
          <w:highlight w:val="none"/>
        </w:rPr>
      </w:pPr>
      <w:r>
        <w:rPr>
          <w:rFonts w:hAnsi="宋体"/>
          <w:sz w:val="21"/>
          <w:szCs w:val="21"/>
          <w:highlight w:val="none"/>
        </w:rPr>
        <w:t>注：（1）法定代表人委托他人代为申请需附此页，法定代表人亲自比选申请不需此页。</w:t>
      </w:r>
    </w:p>
    <w:p>
      <w:pPr>
        <w:pStyle w:val="5"/>
        <w:spacing w:line="560" w:lineRule="exact"/>
        <w:jc w:val="center"/>
        <w:rPr>
          <w:rFonts w:ascii="宋体" w:hAnsi="宋体" w:cs="方正小标宋_GBK"/>
          <w:b w:val="0"/>
          <w:bCs/>
          <w:highlight w:val="none"/>
        </w:rPr>
      </w:pP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四、比选申请报价表</w:t>
      </w:r>
    </w:p>
    <w:p>
      <w:pPr>
        <w:spacing w:line="560" w:lineRule="exact"/>
        <w:rPr>
          <w:rFonts w:hAnsi="宋体"/>
          <w:sz w:val="24"/>
          <w:highlight w:val="none"/>
        </w:rPr>
      </w:pPr>
      <w:r>
        <w:rPr>
          <w:rFonts w:hAnsi="宋体"/>
          <w:sz w:val="24"/>
          <w:highlight w:val="none"/>
        </w:rPr>
        <w:t xml:space="preserve">  </w:t>
      </w:r>
    </w:p>
    <w:tbl>
      <w:tblPr>
        <w:tblStyle w:val="16"/>
        <w:tblW w:w="884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项目名称：</w:t>
            </w:r>
          </w:p>
        </w:tc>
        <w:tc>
          <w:tcPr>
            <w:tcW w:w="6571" w:type="dxa"/>
            <w:vAlign w:val="center"/>
          </w:tcPr>
          <w:p>
            <w:pPr>
              <w:spacing w:line="560" w:lineRule="exact"/>
              <w:jc w:val="center"/>
              <w:rPr>
                <w:rFonts w:hAnsi="宋体"/>
                <w:sz w:val="32"/>
                <w:szCs w:val="32"/>
                <w:highlight w:val="none"/>
              </w:rPr>
            </w:pPr>
            <w:r>
              <w:rPr>
                <w:rFonts w:hint="eastAsia" w:hAnsi="宋体"/>
                <w:sz w:val="32"/>
                <w:szCs w:val="32"/>
                <w:highlight w:val="none"/>
              </w:rPr>
              <w:t>四川蜀物蓉欧实业有限公司</w:t>
            </w:r>
          </w:p>
          <w:p>
            <w:pPr>
              <w:spacing w:line="560" w:lineRule="exact"/>
              <w:jc w:val="center"/>
              <w:rPr>
                <w:rFonts w:hAnsi="宋体"/>
                <w:sz w:val="32"/>
                <w:szCs w:val="32"/>
                <w:highlight w:val="none"/>
              </w:rPr>
            </w:pPr>
            <w:r>
              <w:rPr>
                <w:rFonts w:hint="eastAsia" w:hAnsi="宋体"/>
                <w:sz w:val="32"/>
                <w:szCs w:val="32"/>
                <w:highlight w:val="none"/>
              </w:rPr>
              <w:t>人力资源服务中介机构选聘项目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项目编号</w:t>
            </w:r>
          </w:p>
        </w:tc>
        <w:tc>
          <w:tcPr>
            <w:tcW w:w="6571" w:type="dxa"/>
            <w:vAlign w:val="center"/>
          </w:tcPr>
          <w:p>
            <w:pPr>
              <w:spacing w:line="560" w:lineRule="exact"/>
              <w:jc w:val="center"/>
              <w:rPr>
                <w:rFonts w:hAnsi="宋体"/>
                <w:sz w:val="32"/>
                <w:szCs w:val="32"/>
                <w:highlight w:val="none"/>
              </w:rPr>
            </w:pPr>
            <w:r>
              <w:rPr>
                <w:rFonts w:hAnsi="宋体"/>
                <w:sz w:val="32"/>
                <w:szCs w:val="32"/>
                <w:highlight w:val="none"/>
              </w:rPr>
              <w:t>（项目编号：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比选申请人全称：</w:t>
            </w:r>
          </w:p>
        </w:tc>
        <w:tc>
          <w:tcPr>
            <w:tcW w:w="6571" w:type="dxa"/>
            <w:vAlign w:val="center"/>
          </w:tcPr>
          <w:p>
            <w:pPr>
              <w:spacing w:line="560" w:lineRule="exact"/>
              <w:jc w:val="center"/>
              <w:rPr>
                <w:rFonts w:hAnsi="宋体"/>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2269" w:type="dxa"/>
            <w:vAlign w:val="center"/>
          </w:tcPr>
          <w:p>
            <w:pPr>
              <w:spacing w:line="560" w:lineRule="exact"/>
              <w:jc w:val="center"/>
              <w:rPr>
                <w:rFonts w:hAnsi="宋体"/>
                <w:sz w:val="32"/>
                <w:szCs w:val="32"/>
                <w:highlight w:val="none"/>
              </w:rPr>
            </w:pPr>
            <w:r>
              <w:rPr>
                <w:rFonts w:hAnsi="宋体"/>
                <w:sz w:val="32"/>
                <w:szCs w:val="32"/>
                <w:highlight w:val="none"/>
              </w:rPr>
              <w:t>比选申请报价</w:t>
            </w:r>
            <w:r>
              <w:rPr>
                <w:rFonts w:hint="eastAsia" w:hAnsi="宋体"/>
                <w:sz w:val="32"/>
                <w:szCs w:val="32"/>
                <w:highlight w:val="none"/>
                <w:lang w:eastAsia="zh-CN"/>
              </w:rPr>
              <w:t>（</w:t>
            </w:r>
            <w:r>
              <w:rPr>
                <w:rFonts w:hint="eastAsia" w:hAnsi="宋体"/>
                <w:sz w:val="32"/>
                <w:szCs w:val="32"/>
                <w:highlight w:val="none"/>
                <w:lang w:val="en-US" w:eastAsia="zh-CN"/>
              </w:rPr>
              <w:t>含税</w:t>
            </w:r>
            <w:r>
              <w:rPr>
                <w:rFonts w:hint="eastAsia" w:hAnsi="宋体"/>
                <w:sz w:val="32"/>
                <w:szCs w:val="32"/>
                <w:highlight w:val="none"/>
                <w:lang w:eastAsia="zh-CN"/>
              </w:rPr>
              <w:t>）</w:t>
            </w:r>
            <w:r>
              <w:rPr>
                <w:rFonts w:hAnsi="宋体"/>
                <w:sz w:val="32"/>
                <w:szCs w:val="32"/>
                <w:highlight w:val="none"/>
              </w:rPr>
              <w:t>：</w:t>
            </w:r>
          </w:p>
        </w:tc>
        <w:tc>
          <w:tcPr>
            <w:tcW w:w="6571" w:type="dxa"/>
            <w:vAlign w:val="center"/>
          </w:tcPr>
          <w:p>
            <w:pPr>
              <w:spacing w:line="560" w:lineRule="exact"/>
              <w:jc w:val="center"/>
              <w:rPr>
                <w:rFonts w:hAnsi="宋体"/>
                <w:sz w:val="32"/>
                <w:szCs w:val="32"/>
                <w:highlight w:val="none"/>
              </w:rPr>
            </w:pPr>
            <w:r>
              <w:rPr>
                <w:rFonts w:hAnsi="宋体"/>
                <w:sz w:val="32"/>
                <w:szCs w:val="32"/>
                <w:highlight w:val="none"/>
              </w:rPr>
              <w:t>人民币大写：</w:t>
            </w:r>
            <w:r>
              <w:rPr>
                <w:rFonts w:hAnsi="宋体"/>
                <w:sz w:val="32"/>
                <w:szCs w:val="32"/>
                <w:highlight w:val="none"/>
                <w:u w:val="single"/>
              </w:rPr>
              <w:t xml:space="preserve">            </w:t>
            </w:r>
            <w:r>
              <w:rPr>
                <w:rFonts w:hAnsi="宋体"/>
                <w:sz w:val="32"/>
                <w:szCs w:val="32"/>
                <w:highlight w:val="none"/>
              </w:rPr>
              <w:t>元</w:t>
            </w:r>
          </w:p>
          <w:p>
            <w:pPr>
              <w:spacing w:line="560" w:lineRule="exact"/>
              <w:jc w:val="center"/>
              <w:rPr>
                <w:rFonts w:hAnsi="宋体"/>
                <w:sz w:val="32"/>
                <w:szCs w:val="32"/>
                <w:highlight w:val="none"/>
              </w:rPr>
            </w:pPr>
            <w:r>
              <w:rPr>
                <w:rFonts w:hAnsi="宋体"/>
                <w:sz w:val="32"/>
                <w:szCs w:val="32"/>
                <w:highlight w:val="none"/>
              </w:rPr>
              <w:t>人民币小写：</w:t>
            </w:r>
            <w:r>
              <w:rPr>
                <w:rFonts w:hAnsi="宋体"/>
                <w:sz w:val="32"/>
                <w:szCs w:val="32"/>
                <w:highlight w:val="none"/>
                <w:u w:val="single"/>
              </w:rPr>
              <w:t xml:space="preserve">            </w:t>
            </w:r>
            <w:r>
              <w:rPr>
                <w:rFonts w:hAnsi="宋体"/>
                <w:sz w:val="32"/>
                <w:szCs w:val="32"/>
                <w:highlight w:val="none"/>
              </w:rPr>
              <w:t>元</w:t>
            </w:r>
          </w:p>
        </w:tc>
      </w:tr>
    </w:tbl>
    <w:p>
      <w:pPr>
        <w:spacing w:line="560" w:lineRule="exact"/>
        <w:rPr>
          <w:rFonts w:hAnsi="宋体"/>
          <w:sz w:val="24"/>
          <w:highlight w:val="none"/>
        </w:rPr>
      </w:pPr>
    </w:p>
    <w:p>
      <w:pPr>
        <w:spacing w:line="560" w:lineRule="exact"/>
        <w:rPr>
          <w:rFonts w:hAnsi="宋体"/>
          <w:sz w:val="24"/>
          <w:highlight w:val="none"/>
        </w:rPr>
      </w:pPr>
    </w:p>
    <w:p>
      <w:pPr>
        <w:spacing w:line="400" w:lineRule="exact"/>
        <w:rPr>
          <w:rFonts w:hAnsi="宋体"/>
          <w:sz w:val="24"/>
          <w:highlight w:val="none"/>
        </w:rPr>
      </w:pPr>
      <w:r>
        <w:rPr>
          <w:rFonts w:hAnsi="宋体"/>
          <w:sz w:val="24"/>
          <w:highlight w:val="none"/>
        </w:rPr>
        <w:t>注：</w:t>
      </w:r>
    </w:p>
    <w:p>
      <w:pPr>
        <w:spacing w:line="400" w:lineRule="exact"/>
        <w:rPr>
          <w:rFonts w:hAnsi="宋体"/>
          <w:sz w:val="24"/>
          <w:highlight w:val="none"/>
        </w:rPr>
      </w:pPr>
      <w:r>
        <w:rPr>
          <w:rFonts w:hAnsi="宋体"/>
          <w:sz w:val="24"/>
          <w:highlight w:val="none"/>
        </w:rPr>
        <w:t>1、“比选申请报价”应与“比选申请函”中“比选申请报价”一致。</w:t>
      </w:r>
    </w:p>
    <w:p>
      <w:pPr>
        <w:spacing w:line="400" w:lineRule="exact"/>
        <w:jc w:val="left"/>
        <w:rPr>
          <w:rFonts w:hAnsi="宋体"/>
          <w:sz w:val="24"/>
          <w:highlight w:val="none"/>
        </w:rPr>
      </w:pPr>
      <w:r>
        <w:rPr>
          <w:rFonts w:hAnsi="宋体"/>
          <w:sz w:val="24"/>
          <w:highlight w:val="none"/>
        </w:rPr>
        <w:t>2、以上表格如不能完全表达清楚比选申请人认为必要的费用明细，比选申请人可自行补充。</w:t>
      </w:r>
    </w:p>
    <w:p>
      <w:pPr>
        <w:spacing w:line="400" w:lineRule="exact"/>
        <w:jc w:val="left"/>
        <w:rPr>
          <w:rFonts w:hAnsi="宋体"/>
          <w:sz w:val="24"/>
          <w:highlight w:val="none"/>
        </w:rPr>
      </w:pPr>
      <w:r>
        <w:rPr>
          <w:rFonts w:hAnsi="宋体"/>
          <w:sz w:val="24"/>
          <w:highlight w:val="none"/>
        </w:rPr>
        <w:t>3、现场咨询工作的交通费（差旅费）及住宿费用由比选申请人承担，比选申请人的报价应包括该部分费用。</w:t>
      </w:r>
    </w:p>
    <w:p>
      <w:pPr>
        <w:spacing w:line="560" w:lineRule="exact"/>
        <w:ind w:firstLine="600" w:firstLineChars="250"/>
        <w:jc w:val="left"/>
        <w:rPr>
          <w:rFonts w:hAnsi="宋体"/>
          <w:sz w:val="24"/>
          <w:highlight w:val="none"/>
        </w:rPr>
      </w:pPr>
    </w:p>
    <w:p>
      <w:pPr>
        <w:adjustRightInd w:val="0"/>
        <w:spacing w:line="560" w:lineRule="exact"/>
        <w:ind w:firstLine="480" w:firstLineChars="200"/>
        <w:jc w:val="left"/>
        <w:rPr>
          <w:rFonts w:hAnsi="宋体"/>
          <w:sz w:val="24"/>
          <w:highlight w:val="none"/>
        </w:rPr>
      </w:pPr>
    </w:p>
    <w:p>
      <w:pPr>
        <w:adjustRightInd w:val="0"/>
        <w:spacing w:line="560" w:lineRule="exact"/>
        <w:ind w:firstLine="640" w:firstLineChars="200"/>
        <w:jc w:val="left"/>
        <w:rPr>
          <w:rFonts w:hAnsi="宋体"/>
          <w:sz w:val="32"/>
          <w:szCs w:val="32"/>
          <w:highlight w:val="none"/>
        </w:rPr>
      </w:pPr>
      <w:r>
        <w:rPr>
          <w:rFonts w:hAnsi="宋体"/>
          <w:sz w:val="32"/>
          <w:szCs w:val="32"/>
          <w:highlight w:val="none"/>
        </w:rPr>
        <w:t>比选申请人名称：        （盖章）</w:t>
      </w:r>
    </w:p>
    <w:p>
      <w:pPr>
        <w:adjustRightInd w:val="0"/>
        <w:spacing w:line="560" w:lineRule="exact"/>
        <w:ind w:firstLine="640" w:firstLineChars="200"/>
        <w:jc w:val="left"/>
        <w:rPr>
          <w:rFonts w:hAnsi="宋体"/>
          <w:sz w:val="32"/>
          <w:szCs w:val="32"/>
          <w:highlight w:val="none"/>
        </w:rPr>
      </w:pPr>
      <w:r>
        <w:rPr>
          <w:rFonts w:hAnsi="宋体"/>
          <w:sz w:val="32"/>
          <w:szCs w:val="32"/>
          <w:highlight w:val="none"/>
        </w:rPr>
        <w:t>法定代表人或委托代理人（签字）：</w:t>
      </w:r>
    </w:p>
    <w:p>
      <w:pPr>
        <w:adjustRightInd w:val="0"/>
        <w:spacing w:line="560" w:lineRule="exact"/>
        <w:ind w:firstLine="640" w:firstLineChars="200"/>
        <w:jc w:val="left"/>
        <w:rPr>
          <w:rFonts w:hAnsi="宋体"/>
          <w:sz w:val="32"/>
          <w:szCs w:val="32"/>
          <w:highlight w:val="none"/>
        </w:rPr>
      </w:pPr>
      <w:r>
        <w:rPr>
          <w:rFonts w:hAnsi="宋体"/>
          <w:sz w:val="32"/>
          <w:szCs w:val="32"/>
          <w:highlight w:val="none"/>
        </w:rPr>
        <w:t>日期：</w:t>
      </w:r>
    </w:p>
    <w:p>
      <w:pPr>
        <w:spacing w:line="560" w:lineRule="exact"/>
        <w:ind w:firstLine="640" w:firstLineChars="200"/>
        <w:rPr>
          <w:rFonts w:hAnsi="宋体"/>
          <w:sz w:val="32"/>
          <w:szCs w:val="32"/>
          <w:highlight w:val="none"/>
        </w:rPr>
        <w:sectPr>
          <w:pgSz w:w="11906" w:h="16838"/>
          <w:pgMar w:top="1418" w:right="1304" w:bottom="1418" w:left="1701" w:header="851" w:footer="851" w:gutter="0"/>
          <w:cols w:space="720" w:num="1"/>
          <w:titlePg/>
          <w:docGrid w:linePitch="312" w:charSpace="0"/>
        </w:sectPr>
      </w:pP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五、资格审查资料</w:t>
      </w:r>
    </w:p>
    <w:p>
      <w:pPr>
        <w:pStyle w:val="25"/>
        <w:spacing w:line="560" w:lineRule="exact"/>
        <w:ind w:left="863" w:hanging="850" w:hangingChars="403"/>
        <w:jc w:val="center"/>
        <w:rPr>
          <w:rFonts w:hAnsi="宋体"/>
          <w:b/>
          <w:bCs/>
          <w:sz w:val="21"/>
          <w:szCs w:val="21"/>
          <w:highlight w:val="none"/>
        </w:rPr>
      </w:pPr>
      <w:r>
        <w:rPr>
          <w:rFonts w:hAnsi="宋体"/>
          <w:b/>
          <w:bCs/>
          <w:sz w:val="21"/>
          <w:szCs w:val="21"/>
          <w:highlight w:val="none"/>
        </w:rPr>
        <w:t>比选申请人基本情况表</w:t>
      </w:r>
    </w:p>
    <w:tbl>
      <w:tblPr>
        <w:tblStyle w:val="16"/>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320"/>
        <w:gridCol w:w="4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1</w:t>
            </w:r>
          </w:p>
        </w:tc>
        <w:tc>
          <w:tcPr>
            <w:tcW w:w="3320" w:type="dxa"/>
            <w:vAlign w:val="center"/>
          </w:tcPr>
          <w:p>
            <w:pPr>
              <w:spacing w:line="560" w:lineRule="exact"/>
              <w:rPr>
                <w:rFonts w:hAnsi="宋体"/>
                <w:sz w:val="32"/>
                <w:szCs w:val="32"/>
                <w:highlight w:val="none"/>
              </w:rPr>
            </w:pPr>
            <w:r>
              <w:rPr>
                <w:rFonts w:hAnsi="宋体"/>
                <w:sz w:val="32"/>
                <w:szCs w:val="32"/>
                <w:highlight w:val="none"/>
              </w:rPr>
              <w:t>比选申请人名称：</w:t>
            </w:r>
          </w:p>
        </w:tc>
        <w:tc>
          <w:tcPr>
            <w:tcW w:w="4140" w:type="dxa"/>
            <w:vAlign w:val="center"/>
          </w:tcPr>
          <w:p>
            <w:pPr>
              <w:spacing w:line="560" w:lineRule="exact"/>
              <w:rPr>
                <w:rFonts w:hAnsi="宋体"/>
                <w:sz w:val="32"/>
                <w:szCs w:val="32"/>
                <w:highlight w:val="none"/>
              </w:rPr>
            </w:pPr>
            <w:r>
              <w:rPr>
                <w:rFonts w:hAnsi="宋体"/>
                <w:sz w:val="32"/>
                <w:szCs w:val="32"/>
                <w:highlight w:val="none"/>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2</w:t>
            </w:r>
          </w:p>
        </w:tc>
        <w:tc>
          <w:tcPr>
            <w:tcW w:w="7460" w:type="dxa"/>
            <w:gridSpan w:val="2"/>
            <w:vAlign w:val="center"/>
          </w:tcPr>
          <w:p>
            <w:pPr>
              <w:spacing w:line="560" w:lineRule="exact"/>
              <w:rPr>
                <w:rFonts w:hAnsi="宋体"/>
                <w:sz w:val="32"/>
                <w:szCs w:val="32"/>
                <w:highlight w:val="none"/>
              </w:rPr>
            </w:pPr>
            <w:r>
              <w:rPr>
                <w:rFonts w:hAnsi="宋体"/>
                <w:sz w:val="32"/>
                <w:szCs w:val="32"/>
                <w:highlight w:val="none"/>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3</w:t>
            </w:r>
          </w:p>
        </w:tc>
        <w:tc>
          <w:tcPr>
            <w:tcW w:w="3320" w:type="dxa"/>
            <w:vAlign w:val="center"/>
          </w:tcPr>
          <w:p>
            <w:pPr>
              <w:pStyle w:val="26"/>
              <w:spacing w:beforeLines="0" w:line="560" w:lineRule="exact"/>
              <w:rPr>
                <w:sz w:val="32"/>
                <w:szCs w:val="32"/>
                <w:highlight w:val="none"/>
              </w:rPr>
            </w:pPr>
            <w:r>
              <w:rPr>
                <w:sz w:val="32"/>
                <w:szCs w:val="32"/>
                <w:highlight w:val="none"/>
              </w:rPr>
              <w:t>联系人：</w:t>
            </w:r>
          </w:p>
        </w:tc>
        <w:tc>
          <w:tcPr>
            <w:tcW w:w="4140" w:type="dxa"/>
            <w:vAlign w:val="center"/>
          </w:tcPr>
          <w:p>
            <w:pPr>
              <w:spacing w:line="560" w:lineRule="exact"/>
              <w:rPr>
                <w:rFonts w:hAnsi="宋体"/>
                <w:sz w:val="32"/>
                <w:szCs w:val="32"/>
                <w:highlight w:val="none"/>
              </w:rPr>
            </w:pPr>
            <w:r>
              <w:rPr>
                <w:rFonts w:hAnsi="宋体"/>
                <w:sz w:val="32"/>
                <w:szCs w:val="32"/>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4</w:t>
            </w:r>
          </w:p>
        </w:tc>
        <w:tc>
          <w:tcPr>
            <w:tcW w:w="3320" w:type="dxa"/>
            <w:vAlign w:val="center"/>
          </w:tcPr>
          <w:p>
            <w:pPr>
              <w:spacing w:line="560" w:lineRule="exact"/>
              <w:rPr>
                <w:rFonts w:hAnsi="宋体"/>
                <w:sz w:val="32"/>
                <w:szCs w:val="32"/>
                <w:highlight w:val="none"/>
              </w:rPr>
            </w:pPr>
            <w:r>
              <w:rPr>
                <w:rFonts w:hAnsi="宋体"/>
                <w:sz w:val="32"/>
                <w:szCs w:val="32"/>
                <w:highlight w:val="none"/>
              </w:rPr>
              <w:t>传真：</w:t>
            </w:r>
          </w:p>
        </w:tc>
        <w:tc>
          <w:tcPr>
            <w:tcW w:w="4140" w:type="dxa"/>
            <w:vAlign w:val="center"/>
          </w:tcPr>
          <w:p>
            <w:pPr>
              <w:spacing w:line="560" w:lineRule="exact"/>
              <w:rPr>
                <w:rFonts w:hAnsi="宋体"/>
                <w:sz w:val="32"/>
                <w:szCs w:val="32"/>
                <w:highlight w:val="none"/>
              </w:rPr>
            </w:pPr>
            <w:r>
              <w:rPr>
                <w:rFonts w:hAnsi="宋体"/>
                <w:sz w:val="32"/>
                <w:szCs w:val="32"/>
                <w:highlight w:val="none"/>
              </w:rPr>
              <w:t>邮编：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5</w:t>
            </w:r>
          </w:p>
        </w:tc>
        <w:tc>
          <w:tcPr>
            <w:tcW w:w="3320" w:type="dxa"/>
            <w:vAlign w:val="center"/>
          </w:tcPr>
          <w:p>
            <w:pPr>
              <w:spacing w:line="560" w:lineRule="exact"/>
              <w:rPr>
                <w:rFonts w:hAnsi="宋体"/>
                <w:sz w:val="32"/>
                <w:szCs w:val="32"/>
                <w:highlight w:val="none"/>
              </w:rPr>
            </w:pPr>
            <w:r>
              <w:rPr>
                <w:rFonts w:hAnsi="宋体"/>
                <w:sz w:val="32"/>
                <w:szCs w:val="32"/>
                <w:highlight w:val="none"/>
              </w:rPr>
              <w:t>注册地：</w:t>
            </w:r>
          </w:p>
        </w:tc>
        <w:tc>
          <w:tcPr>
            <w:tcW w:w="4140" w:type="dxa"/>
            <w:vAlign w:val="center"/>
          </w:tcPr>
          <w:p>
            <w:pPr>
              <w:spacing w:line="560" w:lineRule="exact"/>
              <w:rPr>
                <w:rFonts w:hAnsi="宋体"/>
                <w:sz w:val="32"/>
                <w:szCs w:val="32"/>
                <w:highlight w:val="none"/>
              </w:rPr>
            </w:pPr>
            <w:r>
              <w:rPr>
                <w:rFonts w:hAnsi="宋体"/>
                <w:sz w:val="32"/>
                <w:szCs w:val="32"/>
                <w:highlight w:val="none"/>
              </w:rPr>
              <w:t>注册年份：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6</w:t>
            </w:r>
          </w:p>
        </w:tc>
        <w:tc>
          <w:tcPr>
            <w:tcW w:w="3320" w:type="dxa"/>
            <w:vAlign w:val="center"/>
          </w:tcPr>
          <w:p>
            <w:pPr>
              <w:spacing w:line="560" w:lineRule="exact"/>
              <w:rPr>
                <w:rFonts w:hAnsi="宋体"/>
                <w:sz w:val="32"/>
                <w:szCs w:val="32"/>
                <w:highlight w:val="none"/>
              </w:rPr>
            </w:pPr>
            <w:r>
              <w:rPr>
                <w:rFonts w:hAnsi="宋体"/>
                <w:sz w:val="32"/>
                <w:szCs w:val="32"/>
                <w:highlight w:val="none"/>
              </w:rPr>
              <w:t>营业执照号：</w:t>
            </w:r>
          </w:p>
        </w:tc>
        <w:tc>
          <w:tcPr>
            <w:tcW w:w="4140" w:type="dxa"/>
            <w:vAlign w:val="center"/>
          </w:tcPr>
          <w:p>
            <w:pPr>
              <w:spacing w:line="560" w:lineRule="exact"/>
              <w:rPr>
                <w:rFonts w:hAnsi="宋体"/>
                <w:sz w:val="32"/>
                <w:szCs w:val="32"/>
                <w:highlight w:val="none"/>
              </w:rPr>
            </w:pPr>
            <w:r>
              <w:rPr>
                <w:rFonts w:hAnsi="宋体"/>
                <w:sz w:val="32"/>
                <w:szCs w:val="32"/>
                <w:highlight w:val="none"/>
              </w:rPr>
              <w:t>公司类型：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7</w:t>
            </w:r>
          </w:p>
        </w:tc>
        <w:tc>
          <w:tcPr>
            <w:tcW w:w="7460" w:type="dxa"/>
            <w:gridSpan w:val="2"/>
            <w:vAlign w:val="center"/>
          </w:tcPr>
          <w:p>
            <w:pPr>
              <w:pStyle w:val="26"/>
              <w:spacing w:beforeLines="0" w:line="560" w:lineRule="exact"/>
              <w:rPr>
                <w:sz w:val="32"/>
                <w:szCs w:val="32"/>
                <w:highlight w:val="none"/>
              </w:rPr>
            </w:pPr>
            <w:r>
              <w:rPr>
                <w:sz w:val="32"/>
                <w:szCs w:val="32"/>
                <w:highlight w:val="none"/>
              </w:rPr>
              <w:t>注册资本：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9</w:t>
            </w:r>
          </w:p>
        </w:tc>
        <w:tc>
          <w:tcPr>
            <w:tcW w:w="7460" w:type="dxa"/>
            <w:gridSpan w:val="2"/>
            <w:vAlign w:val="center"/>
          </w:tcPr>
          <w:p>
            <w:pPr>
              <w:pStyle w:val="26"/>
              <w:spacing w:beforeLines="0" w:line="560" w:lineRule="exact"/>
              <w:rPr>
                <w:sz w:val="32"/>
                <w:szCs w:val="32"/>
                <w:highlight w:val="none"/>
              </w:rPr>
            </w:pPr>
            <w:r>
              <w:rPr>
                <w:sz w:val="32"/>
                <w:szCs w:val="32"/>
                <w:highlight w:val="none"/>
              </w:rPr>
              <w:t>主营业务范围：</w:t>
            </w:r>
          </w:p>
          <w:p>
            <w:pPr>
              <w:spacing w:line="560" w:lineRule="exact"/>
              <w:rPr>
                <w:rFonts w:hAnsi="宋体"/>
                <w:sz w:val="32"/>
                <w:szCs w:val="32"/>
                <w:highlight w:val="none"/>
                <w:u w:val="single"/>
              </w:rPr>
            </w:pPr>
            <w:r>
              <w:rPr>
                <w:rFonts w:hAnsi="宋体"/>
                <w:sz w:val="32"/>
                <w:szCs w:val="32"/>
                <w:highlight w:val="none"/>
              </w:rPr>
              <w:t>1、</w:t>
            </w:r>
          </w:p>
          <w:p>
            <w:pPr>
              <w:spacing w:line="560" w:lineRule="exact"/>
              <w:rPr>
                <w:rFonts w:hAnsi="宋体"/>
                <w:sz w:val="32"/>
                <w:szCs w:val="32"/>
                <w:highlight w:val="none"/>
                <w:u w:val="single"/>
              </w:rPr>
            </w:pPr>
            <w:r>
              <w:rPr>
                <w:rFonts w:hAnsi="宋体"/>
                <w:sz w:val="32"/>
                <w:szCs w:val="32"/>
                <w:highlight w:val="none"/>
              </w:rPr>
              <w:t>2、</w:t>
            </w:r>
          </w:p>
          <w:p>
            <w:pPr>
              <w:spacing w:line="560" w:lineRule="exact"/>
              <w:rPr>
                <w:rFonts w:hAnsi="宋体"/>
                <w:sz w:val="32"/>
                <w:szCs w:val="32"/>
                <w:highlight w:val="none"/>
                <w:u w:val="single"/>
              </w:rPr>
            </w:pPr>
            <w:r>
              <w:rPr>
                <w:rFonts w:hAnsi="宋体"/>
                <w:sz w:val="32"/>
                <w:szCs w:val="32"/>
                <w:highlight w:val="none"/>
              </w:rPr>
              <w:t>3、</w:t>
            </w:r>
          </w:p>
          <w:p>
            <w:pPr>
              <w:spacing w:line="560" w:lineRule="exact"/>
              <w:rPr>
                <w:rFonts w:hAnsi="宋体"/>
                <w:sz w:val="32"/>
                <w:szCs w:val="32"/>
                <w:highlight w:val="none"/>
              </w:rPr>
            </w:pPr>
            <w:r>
              <w:rPr>
                <w:rFonts w:hAnsi="宋体"/>
                <w:b/>
                <w:sz w:val="32"/>
                <w:szCs w:val="3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928" w:type="dxa"/>
            <w:vAlign w:val="center"/>
          </w:tcPr>
          <w:p>
            <w:pPr>
              <w:spacing w:line="560" w:lineRule="exact"/>
              <w:jc w:val="center"/>
              <w:rPr>
                <w:rFonts w:hAnsi="宋体"/>
                <w:sz w:val="32"/>
                <w:szCs w:val="32"/>
                <w:highlight w:val="none"/>
              </w:rPr>
            </w:pPr>
            <w:r>
              <w:rPr>
                <w:rFonts w:hAnsi="宋体"/>
                <w:sz w:val="32"/>
                <w:szCs w:val="32"/>
                <w:highlight w:val="none"/>
              </w:rPr>
              <w:t>10</w:t>
            </w:r>
          </w:p>
        </w:tc>
        <w:tc>
          <w:tcPr>
            <w:tcW w:w="7460" w:type="dxa"/>
            <w:gridSpan w:val="2"/>
            <w:vAlign w:val="center"/>
          </w:tcPr>
          <w:p>
            <w:pPr>
              <w:spacing w:line="560" w:lineRule="exact"/>
              <w:rPr>
                <w:rFonts w:hAnsi="宋体"/>
                <w:sz w:val="32"/>
                <w:szCs w:val="32"/>
                <w:highlight w:val="none"/>
              </w:rPr>
            </w:pPr>
            <w:r>
              <w:rPr>
                <w:rFonts w:hAnsi="宋体"/>
                <w:sz w:val="32"/>
                <w:szCs w:val="32"/>
                <w:highlight w:val="none"/>
              </w:rPr>
              <w:t>其它需要说明的情况：</w:t>
            </w:r>
          </w:p>
        </w:tc>
      </w:tr>
    </w:tbl>
    <w:p>
      <w:pPr>
        <w:spacing w:line="560" w:lineRule="exact"/>
        <w:rPr>
          <w:rFonts w:hAnsi="宋体"/>
          <w:sz w:val="21"/>
          <w:szCs w:val="21"/>
          <w:highlight w:val="none"/>
        </w:rPr>
      </w:pPr>
    </w:p>
    <w:p>
      <w:pPr>
        <w:spacing w:line="400" w:lineRule="exact"/>
        <w:jc w:val="left"/>
        <w:rPr>
          <w:rFonts w:hAnsi="宋体"/>
          <w:sz w:val="24"/>
          <w:highlight w:val="none"/>
        </w:rPr>
      </w:pPr>
      <w:r>
        <w:rPr>
          <w:rFonts w:hAnsi="宋体"/>
          <w:sz w:val="24"/>
          <w:highlight w:val="none"/>
        </w:rPr>
        <w:t>附：营业执照复印件</w:t>
      </w:r>
    </w:p>
    <w:p>
      <w:pPr>
        <w:spacing w:line="400" w:lineRule="exact"/>
        <w:ind w:firstLine="480" w:firstLineChars="200"/>
        <w:jc w:val="left"/>
        <w:rPr>
          <w:rFonts w:hAnsi="宋体"/>
          <w:sz w:val="24"/>
          <w:highlight w:val="none"/>
        </w:rPr>
      </w:pPr>
      <w:r>
        <w:rPr>
          <w:rFonts w:hAnsi="宋体"/>
          <w:sz w:val="24"/>
          <w:highlight w:val="none"/>
        </w:rPr>
        <w:t>税务登记证复印件</w:t>
      </w:r>
    </w:p>
    <w:p>
      <w:pPr>
        <w:spacing w:line="400" w:lineRule="exact"/>
        <w:ind w:firstLine="480" w:firstLineChars="200"/>
        <w:jc w:val="left"/>
        <w:rPr>
          <w:rFonts w:hAnsi="宋体"/>
          <w:sz w:val="24"/>
          <w:highlight w:val="none"/>
        </w:rPr>
      </w:pPr>
      <w:r>
        <w:rPr>
          <w:rFonts w:hAnsi="宋体"/>
          <w:sz w:val="24"/>
          <w:highlight w:val="none"/>
        </w:rPr>
        <w:t>组织机构代码证复印件（已领取三证合一新版营业执照的，不需要提供税务登记证和组织机构代码证）</w:t>
      </w:r>
    </w:p>
    <w:p>
      <w:pPr>
        <w:spacing w:line="400" w:lineRule="exact"/>
        <w:ind w:firstLine="480" w:firstLineChars="200"/>
        <w:jc w:val="left"/>
        <w:rPr>
          <w:rFonts w:hAnsi="宋体"/>
          <w:sz w:val="24"/>
          <w:highlight w:val="none"/>
        </w:rPr>
      </w:pPr>
      <w:r>
        <w:rPr>
          <w:rFonts w:hAnsi="宋体"/>
          <w:sz w:val="24"/>
          <w:highlight w:val="none"/>
        </w:rPr>
        <w:t>近三年企业无违约及违法情况证明或承诺；</w:t>
      </w:r>
    </w:p>
    <w:p>
      <w:pPr>
        <w:widowControl/>
        <w:spacing w:line="560" w:lineRule="exact"/>
        <w:jc w:val="left"/>
        <w:rPr>
          <w:rFonts w:hAnsi="宋体"/>
          <w:bCs/>
          <w:kern w:val="2"/>
          <w:sz w:val="21"/>
          <w:highlight w:val="none"/>
        </w:rPr>
      </w:pPr>
      <w:r>
        <w:rPr>
          <w:rFonts w:hAnsi="宋体"/>
          <w:bCs/>
          <w:highlight w:val="none"/>
        </w:rPr>
        <w:br w:type="page"/>
      </w: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六、承诺函</w:t>
      </w:r>
    </w:p>
    <w:p>
      <w:pPr>
        <w:spacing w:line="560" w:lineRule="exact"/>
        <w:rPr>
          <w:rFonts w:hAnsi="宋体"/>
          <w:kern w:val="2"/>
          <w:sz w:val="21"/>
          <w:szCs w:val="24"/>
          <w:highlight w:val="none"/>
        </w:rPr>
      </w:pPr>
    </w:p>
    <w:p>
      <w:pPr>
        <w:spacing w:line="440" w:lineRule="exact"/>
        <w:rPr>
          <w:rFonts w:hAnsi="宋体"/>
          <w:kern w:val="2"/>
          <w:sz w:val="32"/>
          <w:szCs w:val="32"/>
          <w:highlight w:val="none"/>
          <w:u w:val="single"/>
        </w:rPr>
      </w:pPr>
      <w:r>
        <w:rPr>
          <w:rFonts w:hAnsi="宋体"/>
          <w:kern w:val="2"/>
          <w:sz w:val="32"/>
          <w:szCs w:val="32"/>
          <w:highlight w:val="none"/>
          <w:u w:val="single"/>
        </w:rPr>
        <w:t>致：</w:t>
      </w:r>
      <w:r>
        <w:rPr>
          <w:rFonts w:hint="eastAsia" w:hAnsi="宋体"/>
          <w:sz w:val="32"/>
          <w:szCs w:val="32"/>
          <w:highlight w:val="none"/>
          <w:u w:val="single"/>
        </w:rPr>
        <w:t>四川蜀物蓉欧实业有限公司</w:t>
      </w:r>
    </w:p>
    <w:p>
      <w:pPr>
        <w:spacing w:line="440" w:lineRule="exact"/>
        <w:ind w:firstLine="482"/>
        <w:rPr>
          <w:rFonts w:hAnsi="宋体"/>
          <w:sz w:val="32"/>
          <w:szCs w:val="32"/>
          <w:highlight w:val="none"/>
        </w:rPr>
      </w:pPr>
      <w:r>
        <w:rPr>
          <w:rFonts w:hAnsi="宋体"/>
          <w:kern w:val="2"/>
          <w:sz w:val="32"/>
          <w:szCs w:val="32"/>
          <w:highlight w:val="none"/>
        </w:rPr>
        <w:t>按照贵方</w:t>
      </w:r>
      <w:r>
        <w:rPr>
          <w:rFonts w:hint="eastAsia" w:hAnsi="宋体"/>
          <w:sz w:val="32"/>
          <w:szCs w:val="32"/>
          <w:highlight w:val="none"/>
        </w:rPr>
        <w:t>四川蜀物蓉欧实业有限公司人力资源服务中介机构选聘项目</w:t>
      </w:r>
      <w:r>
        <w:rPr>
          <w:rFonts w:hAnsi="宋体"/>
          <w:kern w:val="2"/>
          <w:sz w:val="32"/>
          <w:szCs w:val="32"/>
          <w:highlight w:val="none"/>
        </w:rPr>
        <w:t>的要求，我方仔细研究了</w:t>
      </w:r>
      <w:r>
        <w:rPr>
          <w:rFonts w:hint="eastAsia" w:hAnsi="宋体"/>
          <w:kern w:val="2"/>
          <w:sz w:val="32"/>
          <w:szCs w:val="32"/>
          <w:highlight w:val="none"/>
        </w:rPr>
        <w:t>比选</w:t>
      </w:r>
      <w:r>
        <w:rPr>
          <w:rFonts w:hAnsi="宋体"/>
          <w:kern w:val="2"/>
          <w:sz w:val="32"/>
          <w:szCs w:val="32"/>
          <w:highlight w:val="none"/>
        </w:rPr>
        <w:t>文件的全部内容，我方承诺：</w:t>
      </w:r>
    </w:p>
    <w:p>
      <w:pPr>
        <w:spacing w:line="440" w:lineRule="exact"/>
        <w:ind w:firstLine="640" w:firstLineChars="200"/>
        <w:rPr>
          <w:rFonts w:hAnsi="宋体"/>
          <w:kern w:val="2"/>
          <w:sz w:val="32"/>
          <w:szCs w:val="32"/>
          <w:highlight w:val="none"/>
        </w:rPr>
      </w:pPr>
      <w:r>
        <w:rPr>
          <w:rFonts w:hAnsi="宋体"/>
          <w:kern w:val="2"/>
          <w:sz w:val="32"/>
          <w:szCs w:val="32"/>
          <w:highlight w:val="none"/>
        </w:rPr>
        <w:t>（1）202</w:t>
      </w:r>
      <w:r>
        <w:rPr>
          <w:rFonts w:hint="eastAsia" w:hAnsi="宋体"/>
          <w:kern w:val="2"/>
          <w:sz w:val="32"/>
          <w:szCs w:val="32"/>
          <w:highlight w:val="none"/>
        </w:rPr>
        <w:t>1</w:t>
      </w:r>
      <w:r>
        <w:rPr>
          <w:rFonts w:hAnsi="宋体"/>
          <w:kern w:val="2"/>
          <w:sz w:val="32"/>
          <w:szCs w:val="32"/>
          <w:highlight w:val="none"/>
        </w:rPr>
        <w:t>年1月1日至今我方商业信誉良好，未处于财产被接管、冻结、破产状态，未处于有关行政处罚期间，且未处于比选禁入期内。</w:t>
      </w:r>
    </w:p>
    <w:p>
      <w:pPr>
        <w:spacing w:line="440" w:lineRule="exact"/>
        <w:ind w:firstLine="640" w:firstLineChars="200"/>
        <w:rPr>
          <w:rFonts w:hAnsi="宋体"/>
          <w:kern w:val="2"/>
          <w:sz w:val="32"/>
          <w:szCs w:val="32"/>
          <w:highlight w:val="none"/>
        </w:rPr>
      </w:pPr>
      <w:r>
        <w:rPr>
          <w:rFonts w:hAnsi="宋体"/>
          <w:kern w:val="2"/>
          <w:sz w:val="32"/>
          <w:szCs w:val="32"/>
          <w:highlight w:val="none"/>
        </w:rPr>
        <w:t>（2）我方不属于其他国家相关法律法规规定的禁止参加比选的比选申请人。</w:t>
      </w:r>
    </w:p>
    <w:p>
      <w:pPr>
        <w:spacing w:line="440" w:lineRule="exact"/>
        <w:ind w:firstLine="640" w:firstLineChars="200"/>
        <w:rPr>
          <w:rFonts w:hAnsi="宋体"/>
          <w:kern w:val="2"/>
          <w:sz w:val="32"/>
          <w:szCs w:val="32"/>
          <w:highlight w:val="none"/>
        </w:rPr>
      </w:pPr>
      <w:r>
        <w:rPr>
          <w:rFonts w:hAnsi="宋体"/>
          <w:kern w:val="2"/>
          <w:sz w:val="32"/>
          <w:szCs w:val="32"/>
          <w:highlight w:val="none"/>
        </w:rPr>
        <w:t>（3）我方依法设立，具有相应执业资质。</w:t>
      </w:r>
    </w:p>
    <w:p>
      <w:pPr>
        <w:spacing w:line="440" w:lineRule="exact"/>
        <w:ind w:firstLine="640" w:firstLineChars="200"/>
        <w:rPr>
          <w:rFonts w:hAnsi="宋体"/>
          <w:kern w:val="2"/>
          <w:sz w:val="32"/>
          <w:szCs w:val="32"/>
          <w:highlight w:val="none"/>
        </w:rPr>
      </w:pPr>
      <w:r>
        <w:rPr>
          <w:rFonts w:hAnsi="宋体"/>
          <w:kern w:val="2"/>
          <w:sz w:val="32"/>
          <w:szCs w:val="32"/>
          <w:highlight w:val="none"/>
        </w:rPr>
        <w:t>（4）我方合法经营、依法执业，遵守法律法规、职业道德和执业准则，有良好社会信誉。</w:t>
      </w:r>
    </w:p>
    <w:p>
      <w:pPr>
        <w:spacing w:line="440" w:lineRule="exact"/>
        <w:ind w:firstLine="640" w:firstLineChars="200"/>
        <w:rPr>
          <w:rFonts w:hAnsi="宋体"/>
          <w:kern w:val="2"/>
          <w:sz w:val="32"/>
          <w:szCs w:val="32"/>
          <w:highlight w:val="none"/>
        </w:rPr>
      </w:pPr>
      <w:r>
        <w:rPr>
          <w:rFonts w:hAnsi="宋体"/>
          <w:kern w:val="2"/>
          <w:sz w:val="32"/>
          <w:szCs w:val="32"/>
          <w:highlight w:val="none"/>
        </w:rPr>
        <w:t>（5）我方未处于比选人及上级主管部门交易黑名单和市场禁入期内。</w:t>
      </w:r>
    </w:p>
    <w:p>
      <w:pPr>
        <w:spacing w:line="440" w:lineRule="exact"/>
        <w:ind w:firstLine="640" w:firstLineChars="200"/>
        <w:rPr>
          <w:rFonts w:hAnsi="宋体"/>
          <w:kern w:val="2"/>
          <w:sz w:val="32"/>
          <w:szCs w:val="32"/>
          <w:highlight w:val="none"/>
        </w:rPr>
      </w:pPr>
      <w:r>
        <w:rPr>
          <w:rFonts w:hAnsi="宋体"/>
          <w:kern w:val="2"/>
          <w:sz w:val="32"/>
          <w:szCs w:val="32"/>
          <w:highlight w:val="none"/>
        </w:rPr>
        <w:t>（6）202</w:t>
      </w:r>
      <w:r>
        <w:rPr>
          <w:rFonts w:hint="eastAsia" w:hAnsi="宋体"/>
          <w:kern w:val="2"/>
          <w:sz w:val="32"/>
          <w:szCs w:val="32"/>
          <w:highlight w:val="none"/>
        </w:rPr>
        <w:t>1</w:t>
      </w:r>
      <w:r>
        <w:rPr>
          <w:rFonts w:hAnsi="宋体"/>
          <w:kern w:val="2"/>
          <w:sz w:val="32"/>
          <w:szCs w:val="32"/>
          <w:highlight w:val="none"/>
        </w:rPr>
        <w:t>年1月1日至今我公司无违约及违法情况。</w:t>
      </w:r>
    </w:p>
    <w:p>
      <w:pPr>
        <w:spacing w:line="440" w:lineRule="exact"/>
        <w:ind w:firstLine="640" w:firstLineChars="200"/>
        <w:rPr>
          <w:rFonts w:hAnsi="宋体"/>
          <w:kern w:val="2"/>
          <w:sz w:val="32"/>
          <w:szCs w:val="32"/>
          <w:highlight w:val="none"/>
        </w:rPr>
      </w:pPr>
      <w:r>
        <w:rPr>
          <w:rFonts w:hAnsi="宋体"/>
          <w:kern w:val="2"/>
          <w:sz w:val="32"/>
          <w:szCs w:val="32"/>
          <w:highlight w:val="none"/>
        </w:rPr>
        <w:t>（7）我方</w:t>
      </w:r>
      <w:r>
        <w:rPr>
          <w:rFonts w:hAnsi="宋体"/>
          <w:bCs/>
          <w:sz w:val="32"/>
          <w:szCs w:val="32"/>
          <w:highlight w:val="none"/>
        </w:rPr>
        <w:t>具有较好的财务能力，202</w:t>
      </w:r>
      <w:r>
        <w:rPr>
          <w:rFonts w:hint="eastAsia" w:hAnsi="宋体"/>
          <w:bCs/>
          <w:sz w:val="32"/>
          <w:szCs w:val="32"/>
          <w:highlight w:val="none"/>
        </w:rPr>
        <w:t>1</w:t>
      </w:r>
      <w:r>
        <w:rPr>
          <w:rFonts w:hAnsi="宋体"/>
          <w:bCs/>
          <w:sz w:val="32"/>
          <w:szCs w:val="32"/>
          <w:highlight w:val="none"/>
        </w:rPr>
        <w:t>年至202</w:t>
      </w:r>
      <w:r>
        <w:rPr>
          <w:rFonts w:hint="eastAsia" w:hAnsi="宋体"/>
          <w:bCs/>
          <w:sz w:val="32"/>
          <w:szCs w:val="32"/>
          <w:highlight w:val="none"/>
        </w:rPr>
        <w:t>3</w:t>
      </w:r>
      <w:r>
        <w:rPr>
          <w:rFonts w:hAnsi="宋体"/>
          <w:bCs/>
          <w:sz w:val="32"/>
          <w:szCs w:val="32"/>
          <w:highlight w:val="none"/>
        </w:rPr>
        <w:t>年连续三年不亏损，并在人员、设备等方面具备相应的履约能力。</w:t>
      </w:r>
    </w:p>
    <w:p>
      <w:pPr>
        <w:spacing w:line="440" w:lineRule="exact"/>
        <w:ind w:firstLine="640" w:firstLineChars="200"/>
        <w:rPr>
          <w:rFonts w:hint="eastAsia" w:hAnsi="宋体" w:eastAsia="宋体"/>
          <w:bCs w:val="0"/>
          <w:sz w:val="32"/>
          <w:szCs w:val="32"/>
          <w:highlight w:val="none"/>
          <w:lang w:eastAsia="zh-CN"/>
        </w:rPr>
      </w:pPr>
      <w:r>
        <w:rPr>
          <w:rFonts w:hint="eastAsia" w:hAnsi="宋体"/>
          <w:color w:val="000000"/>
          <w:sz w:val="32"/>
          <w:szCs w:val="32"/>
          <w:highlight w:val="none"/>
          <w:lang w:eastAsia="zh-CN"/>
        </w:rPr>
        <w:t>（</w:t>
      </w:r>
      <w:r>
        <w:rPr>
          <w:rFonts w:hint="eastAsia" w:hAnsi="宋体"/>
          <w:color w:val="000000"/>
          <w:sz w:val="32"/>
          <w:szCs w:val="32"/>
          <w:highlight w:val="none"/>
          <w:lang w:val="en-US" w:eastAsia="zh-CN"/>
        </w:rPr>
        <w:t>8</w:t>
      </w:r>
      <w:r>
        <w:rPr>
          <w:rFonts w:hint="eastAsia" w:hAnsi="宋体"/>
          <w:color w:val="000000"/>
          <w:sz w:val="32"/>
          <w:szCs w:val="32"/>
          <w:highlight w:val="none"/>
          <w:lang w:eastAsia="zh-CN"/>
        </w:rPr>
        <w:t>）</w:t>
      </w:r>
      <w:r>
        <w:rPr>
          <w:rFonts w:hint="eastAsia" w:hAnsi="宋体"/>
          <w:bCs w:val="0"/>
          <w:sz w:val="32"/>
          <w:szCs w:val="32"/>
          <w:highlight w:val="none"/>
          <w:lang w:val="en-US" w:eastAsia="zh-CN"/>
        </w:rPr>
        <w:t>我方</w:t>
      </w:r>
      <w:r>
        <w:rPr>
          <w:rFonts w:hint="default" w:ascii="宋体" w:hAnsi="宋体" w:eastAsia="宋体" w:cs="Times New Roman"/>
          <w:sz w:val="32"/>
          <w:szCs w:val="32"/>
          <w:highlight w:val="none"/>
        </w:rPr>
        <w:t>按规定通过了有关部门的年度检验</w:t>
      </w:r>
      <w:r>
        <w:rPr>
          <w:rFonts w:hint="eastAsia" w:hAnsi="宋体" w:cs="Times New Roman"/>
          <w:sz w:val="32"/>
          <w:szCs w:val="32"/>
          <w:highlight w:val="none"/>
          <w:lang w:eastAsia="zh-CN"/>
        </w:rPr>
        <w:t>。</w:t>
      </w:r>
    </w:p>
    <w:p>
      <w:pPr>
        <w:spacing w:line="440" w:lineRule="exact"/>
        <w:ind w:firstLine="640" w:firstLineChars="200"/>
        <w:rPr>
          <w:rFonts w:hint="eastAsia" w:ascii="宋体" w:hAnsi="宋体" w:eastAsia="宋体" w:cs="Times New Roman"/>
          <w:sz w:val="32"/>
          <w:szCs w:val="32"/>
          <w:highlight w:val="none"/>
          <w:lang w:eastAsia="zh-CN"/>
        </w:rPr>
      </w:pPr>
      <w:r>
        <w:rPr>
          <w:rFonts w:hint="eastAsia" w:hAnsi="宋体"/>
          <w:bCs w:val="0"/>
          <w:sz w:val="32"/>
          <w:szCs w:val="32"/>
          <w:highlight w:val="none"/>
          <w:lang w:eastAsia="zh-CN"/>
        </w:rPr>
        <w:t>（</w:t>
      </w:r>
      <w:r>
        <w:rPr>
          <w:rFonts w:hint="eastAsia" w:hAnsi="宋体"/>
          <w:bCs w:val="0"/>
          <w:sz w:val="32"/>
          <w:szCs w:val="32"/>
          <w:highlight w:val="none"/>
          <w:lang w:val="en-US" w:eastAsia="zh-CN"/>
        </w:rPr>
        <w:t>9</w:t>
      </w:r>
      <w:r>
        <w:rPr>
          <w:rFonts w:hint="eastAsia" w:hAnsi="宋体"/>
          <w:bCs w:val="0"/>
          <w:sz w:val="32"/>
          <w:szCs w:val="32"/>
          <w:highlight w:val="none"/>
          <w:lang w:eastAsia="zh-CN"/>
        </w:rPr>
        <w:t>）我</w:t>
      </w:r>
      <w:r>
        <w:rPr>
          <w:rFonts w:hint="eastAsia" w:hAnsi="宋体"/>
          <w:bCs w:val="0"/>
          <w:sz w:val="32"/>
          <w:szCs w:val="32"/>
          <w:highlight w:val="none"/>
          <w:lang w:val="en-US" w:eastAsia="zh-CN"/>
        </w:rPr>
        <w:t>方</w:t>
      </w:r>
      <w:r>
        <w:rPr>
          <w:rFonts w:hint="default" w:ascii="宋体" w:hAnsi="宋体" w:eastAsia="宋体" w:cs="Times New Roman"/>
          <w:sz w:val="32"/>
          <w:szCs w:val="32"/>
          <w:highlight w:val="none"/>
        </w:rPr>
        <w:t>近三年提供的中介服务未因重大执业质量等问题受到省国资委通报</w:t>
      </w:r>
      <w:r>
        <w:rPr>
          <w:rFonts w:hint="eastAsia" w:hAnsi="宋体" w:cs="Times New Roman"/>
          <w:sz w:val="32"/>
          <w:szCs w:val="32"/>
          <w:highlight w:val="none"/>
          <w:lang w:eastAsia="zh-CN"/>
        </w:rPr>
        <w:t>。</w:t>
      </w:r>
    </w:p>
    <w:p>
      <w:pPr>
        <w:pStyle w:val="7"/>
        <w:spacing w:line="440" w:lineRule="exact"/>
        <w:ind w:firstLine="640" w:firstLineChars="200"/>
        <w:rPr>
          <w:rFonts w:hint="eastAsia" w:ascii="宋体" w:hAnsi="宋体" w:eastAsia="宋体"/>
          <w:kern w:val="0"/>
          <w:sz w:val="32"/>
          <w:szCs w:val="32"/>
          <w:highlight w:val="none"/>
          <w:lang w:val="en-US" w:eastAsia="zh-CN"/>
        </w:rPr>
      </w:pPr>
      <w:r>
        <w:rPr>
          <w:rFonts w:hint="eastAsia" w:ascii="宋体" w:hAnsi="宋体"/>
          <w:kern w:val="0"/>
          <w:sz w:val="32"/>
          <w:szCs w:val="32"/>
          <w:highlight w:val="none"/>
          <w:lang w:val="en-US" w:eastAsia="zh-CN"/>
        </w:rPr>
        <w:t>（10）我方</w:t>
      </w:r>
      <w:r>
        <w:rPr>
          <w:rFonts w:hint="eastAsia" w:ascii="宋体" w:hAnsi="宋体" w:eastAsia="宋体" w:cs="Times New Roman"/>
          <w:kern w:val="0"/>
          <w:sz w:val="32"/>
          <w:szCs w:val="32"/>
          <w:highlight w:val="none"/>
        </w:rPr>
        <w:t>不存在</w:t>
      </w:r>
      <w:r>
        <w:rPr>
          <w:rFonts w:hint="eastAsia" w:ascii="宋体" w:hAnsi="宋体" w:cs="Times New Roman"/>
          <w:kern w:val="0"/>
          <w:sz w:val="32"/>
          <w:szCs w:val="32"/>
          <w:highlight w:val="none"/>
          <w:lang w:eastAsia="zh-CN"/>
        </w:rPr>
        <w:t>《四川省国资委及出资企业中介机构选聘管理试行办法》</w:t>
      </w:r>
      <w:r>
        <w:rPr>
          <w:rFonts w:hint="eastAsia" w:ascii="宋体" w:hAnsi="宋体" w:eastAsia="宋体" w:cs="Times New Roman"/>
          <w:kern w:val="0"/>
          <w:sz w:val="32"/>
          <w:szCs w:val="32"/>
          <w:highlight w:val="none"/>
        </w:rPr>
        <w:t>第二十八条情形</w:t>
      </w:r>
      <w:r>
        <w:rPr>
          <w:rFonts w:hint="eastAsia" w:ascii="宋体" w:hAnsi="宋体" w:cs="Times New Roman"/>
          <w:kern w:val="0"/>
          <w:sz w:val="32"/>
          <w:szCs w:val="32"/>
          <w:highlight w:val="none"/>
          <w:lang w:eastAsia="zh-CN"/>
        </w:rPr>
        <w:t>。</w:t>
      </w:r>
    </w:p>
    <w:p>
      <w:pPr>
        <w:autoSpaceDE w:val="0"/>
        <w:autoSpaceDN w:val="0"/>
        <w:adjustRightInd w:val="0"/>
        <w:spacing w:line="560" w:lineRule="exact"/>
        <w:jc w:val="left"/>
        <w:rPr>
          <w:rFonts w:hint="eastAsia" w:hAnsi="宋体" w:eastAsia="宋体"/>
          <w:bCs/>
          <w:sz w:val="32"/>
          <w:szCs w:val="32"/>
          <w:highlight w:val="none"/>
          <w:lang w:eastAsia="zh-CN"/>
        </w:rPr>
      </w:pPr>
    </w:p>
    <w:p>
      <w:pPr>
        <w:spacing w:line="560" w:lineRule="exact"/>
        <w:ind w:firstLine="482"/>
        <w:rPr>
          <w:rFonts w:hAnsi="宋体"/>
          <w:bCs/>
          <w:sz w:val="32"/>
          <w:szCs w:val="32"/>
          <w:highlight w:val="none"/>
        </w:rPr>
      </w:pPr>
      <w:r>
        <w:rPr>
          <w:rFonts w:hAnsi="宋体"/>
          <w:bCs/>
          <w:sz w:val="32"/>
          <w:szCs w:val="32"/>
          <w:highlight w:val="none"/>
        </w:rPr>
        <w:t>比选申请人名称：        （盖章）</w:t>
      </w:r>
    </w:p>
    <w:p>
      <w:pPr>
        <w:spacing w:line="560" w:lineRule="exact"/>
        <w:ind w:firstLine="482"/>
        <w:rPr>
          <w:rFonts w:hAnsi="宋体"/>
          <w:bCs/>
          <w:sz w:val="32"/>
          <w:szCs w:val="32"/>
          <w:highlight w:val="none"/>
        </w:rPr>
      </w:pPr>
      <w:r>
        <w:rPr>
          <w:rFonts w:hAnsi="宋体"/>
          <w:bCs/>
          <w:sz w:val="32"/>
          <w:szCs w:val="32"/>
          <w:highlight w:val="none"/>
        </w:rPr>
        <w:t>法定代表人或其委托代理人（签字）：</w:t>
      </w:r>
    </w:p>
    <w:p>
      <w:pPr>
        <w:spacing w:line="560" w:lineRule="exact"/>
        <w:ind w:firstLine="482"/>
        <w:rPr>
          <w:rFonts w:hAnsi="宋体"/>
          <w:bCs/>
          <w:sz w:val="32"/>
          <w:szCs w:val="32"/>
          <w:highlight w:val="none"/>
        </w:rPr>
      </w:pPr>
      <w:r>
        <w:rPr>
          <w:rFonts w:hAnsi="宋体"/>
          <w:bCs/>
          <w:sz w:val="32"/>
          <w:szCs w:val="32"/>
          <w:highlight w:val="none"/>
        </w:rPr>
        <w:t>日期：</w:t>
      </w:r>
    </w:p>
    <w:p>
      <w:pPr>
        <w:pStyle w:val="25"/>
        <w:spacing w:line="560" w:lineRule="exact"/>
        <w:ind w:left="863" w:hanging="850" w:hangingChars="403"/>
        <w:rPr>
          <w:rFonts w:hAnsi="宋体"/>
          <w:b/>
          <w:bCs/>
          <w:sz w:val="21"/>
          <w:szCs w:val="21"/>
          <w:highlight w:val="none"/>
        </w:rPr>
      </w:pPr>
    </w:p>
    <w:p>
      <w:pPr>
        <w:widowControl/>
        <w:spacing w:line="560" w:lineRule="exact"/>
        <w:jc w:val="both"/>
        <w:rPr>
          <w:rFonts w:hAnsi="宋体"/>
          <w:kern w:val="2"/>
          <w:sz w:val="21"/>
          <w:highlight w:val="none"/>
        </w:rPr>
      </w:pPr>
      <w:r>
        <w:rPr>
          <w:rFonts w:hAnsi="宋体"/>
          <w:highlight w:val="none"/>
        </w:rPr>
        <w:br w:type="page"/>
      </w:r>
      <w:r>
        <w:rPr>
          <w:rFonts w:hAnsi="宋体" w:cs="方正小标宋_GBK"/>
          <w:bCs/>
          <w:highlight w:val="none"/>
        </w:rPr>
        <w:t>七、类似项目业绩</w:t>
      </w: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r>
        <w:rPr>
          <w:rFonts w:hAnsi="宋体"/>
          <w:bCs/>
          <w:kern w:val="2"/>
          <w:sz w:val="21"/>
          <w:szCs w:val="21"/>
          <w:highlight w:val="none"/>
        </w:rPr>
        <w:t>注：比选申请人项目业绩，应附合同复印件或其它有效证明材料。</w:t>
      </w:r>
    </w:p>
    <w:p>
      <w:pPr>
        <w:pStyle w:val="5"/>
        <w:spacing w:line="560" w:lineRule="exact"/>
        <w:jc w:val="center"/>
        <w:rPr>
          <w:rFonts w:ascii="宋体" w:hAnsi="宋体" w:cs="方正小标宋_GBK"/>
          <w:b w:val="0"/>
          <w:bCs/>
          <w:highlight w:val="none"/>
        </w:rPr>
      </w:pPr>
      <w:r>
        <w:rPr>
          <w:rFonts w:ascii="宋体" w:hAnsi="宋体" w:cs="方正小标宋_GBK"/>
          <w:b w:val="0"/>
          <w:bCs/>
          <w:highlight w:val="none"/>
        </w:rPr>
        <w:t>八、拟投入本项目的人员配置清单</w:t>
      </w: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rPr>
          <w:rFonts w:ascii="宋体" w:hAnsi="宋体"/>
          <w:bCs/>
          <w:kern w:val="2"/>
          <w:sz w:val="21"/>
          <w:szCs w:val="21"/>
          <w:highlight w:val="none"/>
        </w:rPr>
      </w:pPr>
    </w:p>
    <w:p>
      <w:pPr>
        <w:rPr>
          <w:rFonts w:hAnsi="宋体"/>
          <w:bCs/>
          <w:kern w:val="2"/>
          <w:sz w:val="21"/>
          <w:szCs w:val="21"/>
          <w:highlight w:val="none"/>
        </w:rPr>
      </w:pPr>
    </w:p>
    <w:p>
      <w:pPr>
        <w:pStyle w:val="15"/>
        <w:ind w:firstLine="680"/>
        <w:rPr>
          <w:rFonts w:ascii="宋体" w:hAnsi="宋体"/>
          <w:highlight w:val="none"/>
        </w:rPr>
      </w:pPr>
    </w:p>
    <w:p>
      <w:pPr>
        <w:spacing w:line="560" w:lineRule="exact"/>
        <w:rPr>
          <w:rFonts w:hAnsi="宋体"/>
          <w:bCs/>
          <w:kern w:val="2"/>
          <w:sz w:val="21"/>
          <w:szCs w:val="21"/>
          <w:highlight w:val="none"/>
        </w:rPr>
      </w:pPr>
    </w:p>
    <w:p>
      <w:pPr>
        <w:spacing w:line="560" w:lineRule="exact"/>
        <w:rPr>
          <w:rFonts w:hAnsi="宋体"/>
          <w:bCs/>
          <w:kern w:val="2"/>
          <w:sz w:val="21"/>
          <w:szCs w:val="21"/>
          <w:highlight w:val="none"/>
        </w:rPr>
      </w:pPr>
      <w:r>
        <w:rPr>
          <w:rFonts w:hAnsi="宋体"/>
          <w:bCs/>
          <w:kern w:val="2"/>
          <w:sz w:val="21"/>
          <w:szCs w:val="21"/>
          <w:highlight w:val="none"/>
        </w:rPr>
        <w:t>注：所有人员均应附身份证复印件；项目负责人及主要人员还应附项目业绩证明资料</w:t>
      </w:r>
      <w:r>
        <w:rPr>
          <w:rFonts w:hAnsi="宋体"/>
          <w:bCs/>
          <w:kern w:val="2"/>
          <w:sz w:val="21"/>
          <w:szCs w:val="21"/>
          <w:highlight w:val="none"/>
          <w:lang w:eastAsia="zh-Hans"/>
        </w:rPr>
        <w:t>（或承诺函）</w:t>
      </w:r>
      <w:r>
        <w:rPr>
          <w:rFonts w:hAnsi="宋体"/>
          <w:bCs/>
          <w:kern w:val="2"/>
          <w:sz w:val="21"/>
          <w:szCs w:val="21"/>
          <w:highlight w:val="none"/>
        </w:rPr>
        <w:t>。</w:t>
      </w:r>
    </w:p>
    <w:p>
      <w:pPr>
        <w:pStyle w:val="5"/>
        <w:jc w:val="center"/>
        <w:rPr>
          <w:b w:val="0"/>
          <w:highlight w:val="none"/>
        </w:rPr>
      </w:pPr>
      <w:r>
        <w:rPr>
          <w:b w:val="0"/>
          <w:highlight w:val="none"/>
        </w:rPr>
        <w:t>九、省国资委人力资源改革要求</w:t>
      </w:r>
    </w:p>
    <w:p>
      <w:pPr>
        <w:pStyle w:val="5"/>
        <w:jc w:val="center"/>
        <w:rPr>
          <w:sz w:val="21"/>
          <w:szCs w:val="21"/>
          <w:highlight w:val="none"/>
        </w:rPr>
      </w:pPr>
      <w:r>
        <w:rPr>
          <w:sz w:val="21"/>
          <w:szCs w:val="21"/>
          <w:highlight w:val="none"/>
        </w:rPr>
        <w:br w:type="page"/>
      </w:r>
    </w:p>
    <w:p>
      <w:pPr>
        <w:pStyle w:val="5"/>
        <w:jc w:val="center"/>
        <w:rPr>
          <w:b w:val="0"/>
          <w:highlight w:val="none"/>
        </w:rPr>
      </w:pPr>
      <w:r>
        <w:rPr>
          <w:b w:val="0"/>
          <w:highlight w:val="none"/>
        </w:rPr>
        <w:t>十、项目实施方案</w:t>
      </w:r>
    </w:p>
    <w:p>
      <w:pPr>
        <w:pStyle w:val="24"/>
        <w:spacing w:line="560" w:lineRule="exact"/>
        <w:ind w:left="0" w:firstLine="0"/>
        <w:jc w:val="both"/>
        <w:rPr>
          <w:rFonts w:ascii="宋体" w:hAnsi="宋体"/>
          <w:sz w:val="32"/>
          <w:szCs w:val="32"/>
          <w:highlight w:val="none"/>
        </w:rPr>
      </w:pPr>
    </w:p>
    <w:p>
      <w:pPr>
        <w:pStyle w:val="24"/>
        <w:spacing w:line="560" w:lineRule="exact"/>
        <w:ind w:left="0" w:firstLine="0"/>
        <w:jc w:val="both"/>
        <w:rPr>
          <w:rFonts w:ascii="宋体" w:hAnsi="宋体"/>
          <w:sz w:val="32"/>
          <w:szCs w:val="32"/>
          <w:highlight w:val="none"/>
        </w:rPr>
      </w:pPr>
      <w:r>
        <w:rPr>
          <w:rFonts w:ascii="宋体" w:hAnsi="宋体"/>
          <w:sz w:val="32"/>
          <w:szCs w:val="32"/>
          <w:highlight w:val="none"/>
        </w:rPr>
        <w:t>格式自拟，包括但不限于以下内容：</w:t>
      </w:r>
    </w:p>
    <w:p>
      <w:pPr>
        <w:numPr>
          <w:ilvl w:val="0"/>
          <w:numId w:val="5"/>
        </w:numPr>
        <w:spacing w:line="560" w:lineRule="exact"/>
        <w:rPr>
          <w:rFonts w:hAnsi="宋体"/>
          <w:sz w:val="32"/>
          <w:szCs w:val="32"/>
          <w:highlight w:val="none"/>
        </w:rPr>
      </w:pPr>
      <w:r>
        <w:rPr>
          <w:rFonts w:hAnsi="宋体"/>
          <w:sz w:val="32"/>
          <w:szCs w:val="32"/>
          <w:highlight w:val="none"/>
        </w:rPr>
        <w:t>项目理解；</w:t>
      </w:r>
    </w:p>
    <w:p>
      <w:pPr>
        <w:numPr>
          <w:ilvl w:val="0"/>
          <w:numId w:val="5"/>
        </w:numPr>
        <w:spacing w:line="560" w:lineRule="exact"/>
        <w:rPr>
          <w:rFonts w:hAnsi="宋体"/>
          <w:sz w:val="32"/>
          <w:szCs w:val="32"/>
          <w:highlight w:val="none"/>
        </w:rPr>
      </w:pPr>
      <w:r>
        <w:rPr>
          <w:rFonts w:hAnsi="宋体"/>
          <w:sz w:val="32"/>
          <w:szCs w:val="32"/>
          <w:highlight w:val="none"/>
        </w:rPr>
        <w:t>项目的整体思路；</w:t>
      </w:r>
    </w:p>
    <w:p>
      <w:pPr>
        <w:numPr>
          <w:ilvl w:val="0"/>
          <w:numId w:val="5"/>
        </w:numPr>
        <w:spacing w:line="560" w:lineRule="exact"/>
        <w:rPr>
          <w:rFonts w:hAnsi="宋体"/>
          <w:sz w:val="32"/>
          <w:szCs w:val="32"/>
          <w:highlight w:val="none"/>
        </w:rPr>
      </w:pPr>
      <w:r>
        <w:rPr>
          <w:rFonts w:hAnsi="宋体"/>
          <w:sz w:val="32"/>
          <w:szCs w:val="32"/>
          <w:highlight w:val="none"/>
        </w:rPr>
        <w:t>方案的全面性、科学性、创新性；</w:t>
      </w:r>
    </w:p>
    <w:p>
      <w:pPr>
        <w:numPr>
          <w:ilvl w:val="0"/>
          <w:numId w:val="5"/>
        </w:numPr>
        <w:spacing w:line="560" w:lineRule="exact"/>
        <w:rPr>
          <w:rFonts w:hAnsi="宋体"/>
          <w:sz w:val="32"/>
          <w:szCs w:val="32"/>
          <w:highlight w:val="none"/>
        </w:rPr>
      </w:pPr>
      <w:r>
        <w:rPr>
          <w:rFonts w:hAnsi="宋体"/>
          <w:sz w:val="32"/>
          <w:szCs w:val="32"/>
          <w:highlight w:val="none"/>
        </w:rPr>
        <w:t>方案的可行性；</w:t>
      </w:r>
    </w:p>
    <w:p>
      <w:pPr>
        <w:numPr>
          <w:ilvl w:val="0"/>
          <w:numId w:val="5"/>
        </w:numPr>
        <w:spacing w:line="560" w:lineRule="exact"/>
        <w:rPr>
          <w:rFonts w:hAnsi="宋体"/>
          <w:sz w:val="32"/>
          <w:szCs w:val="32"/>
          <w:highlight w:val="none"/>
        </w:rPr>
      </w:pPr>
      <w:r>
        <w:rPr>
          <w:rFonts w:hAnsi="宋体"/>
          <w:sz w:val="32"/>
          <w:szCs w:val="32"/>
          <w:highlight w:val="none"/>
        </w:rPr>
        <w:t>项目组织安排的合理性、可控性；</w:t>
      </w:r>
    </w:p>
    <w:p>
      <w:pPr>
        <w:numPr>
          <w:ilvl w:val="0"/>
          <w:numId w:val="5"/>
        </w:numPr>
        <w:spacing w:line="560" w:lineRule="exact"/>
        <w:rPr>
          <w:rFonts w:hAnsi="宋体"/>
          <w:sz w:val="32"/>
          <w:szCs w:val="32"/>
          <w:highlight w:val="none"/>
        </w:rPr>
      </w:pPr>
      <w:r>
        <w:rPr>
          <w:rFonts w:hAnsi="宋体"/>
          <w:sz w:val="32"/>
          <w:szCs w:val="32"/>
          <w:highlight w:val="none"/>
        </w:rPr>
        <w:t>日常服务配合；</w:t>
      </w:r>
    </w:p>
    <w:p>
      <w:pPr>
        <w:numPr>
          <w:ilvl w:val="0"/>
          <w:numId w:val="5"/>
        </w:numPr>
        <w:spacing w:line="560" w:lineRule="exact"/>
        <w:rPr>
          <w:rFonts w:hAnsi="宋体"/>
          <w:sz w:val="32"/>
          <w:szCs w:val="32"/>
          <w:highlight w:val="none"/>
        </w:rPr>
      </w:pPr>
      <w:r>
        <w:rPr>
          <w:rFonts w:hAnsi="宋体"/>
          <w:sz w:val="32"/>
          <w:szCs w:val="32"/>
          <w:highlight w:val="none"/>
        </w:rPr>
        <w:t>后续服务配合；</w:t>
      </w:r>
    </w:p>
    <w:p>
      <w:pPr>
        <w:spacing w:line="560" w:lineRule="exact"/>
        <w:rPr>
          <w:rFonts w:hAnsi="宋体"/>
          <w:highlight w:val="none"/>
        </w:rPr>
      </w:pPr>
    </w:p>
    <w:sectPr>
      <w:pgSz w:w="11906" w:h="16838"/>
      <w:pgMar w:top="1418" w:right="1304" w:bottom="1418" w:left="1701"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A00002EF" w:usb1="4000004B" w:usb2="00000000" w:usb3="00000000" w:csb0="200000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tabs>
        <w:tab w:val="center" w:pos="4819"/>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79375" cy="996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79375" cy="99695"/>
                      </a:xfrm>
                      <a:prstGeom prst="rect">
                        <a:avLst/>
                      </a:prstGeom>
                      <a:noFill/>
                      <a:ln>
                        <a:noFill/>
                      </a:ln>
                    </wps:spPr>
                    <wps:txbx>
                      <w:txbxContent>
                        <w:p>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7.85pt;width:6.25pt;mso-position-horizontal:center;mso-position-horizontal-relative:margin;mso-wrap-style:none;z-index:251661312;mso-width-relative:page;mso-height-relative:page;" filled="f" stroked="f" coordsize="21600,21600" o:gfxdata="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KM5vdtAAAAAD&#10;AQAADwAAAAAAAAABACAAAAAiAAAAZHJzL2Rvd25yZXYueG1sUEsBAhQAFAAAAAgAh07iQC7B02+y&#10;AQAARwMAAA4AAAAAAAAAAQAgAAAAHwEAAGRycy9lMm9Eb2MueG1sUEsFBgAAAAAGAAYAWQEAAEMF&#10;AAAAAA==&#10;">
              <v:fill on="f" focussize="0,0"/>
              <v:stroke on="f"/>
              <v:imagedata o:title=""/>
              <o:lock v:ext="edit" aspectratio="f"/>
              <v:textbox inset="0mm,0mm,0mm,0mm" style="mso-fit-shape-to-text:t;">
                <w:txbxContent>
                  <w:p>
                    <w:pPr>
                      <w:snapToGrid w:val="0"/>
                      <w:rPr>
                        <w:sz w:val="11"/>
                        <w:szCs w:val="13"/>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32</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23825" cy="288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3825" cy="288925"/>
                      </a:xfrm>
                      <a:prstGeom prst="rect">
                        <a:avLst/>
                      </a:prstGeom>
                      <a:no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2.75pt;width:9.75pt;mso-position-horizontal:center;mso-position-horizontal-relative:margin;mso-wrap-style:none;z-index:251660288;mso-width-relative:page;mso-height-relative:page;" filled="f" stroked="f" coordsize="21600,21600" o:gfxdata="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OgiYDRAAAA&#10;AwEAAA8AAAAAAAAAAQAgAAAAIgAAAGRycy9kb3ducmV2LnhtbFBLAQIUABQAAAAIAIdO4kBJarj4&#10;sgEAAEkDAAAOAAAAAAAAAAEAIAAAACABAABkcnMvZTJvRG9jLnhtbFBLBQYAAAAABgAGAFkBAABE&#10;BQAAAAA=&#10;">
              <v:fill on="f" focussize="0,0"/>
              <v:stroke on="f"/>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2875" cy="1816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2875" cy="181610"/>
                      </a:xfrm>
                      <a:prstGeom prst="rect">
                        <a:avLst/>
                      </a:prstGeom>
                      <a:noFill/>
                      <a:ln>
                        <a:noFill/>
                      </a:ln>
                    </wps:spPr>
                    <wps:txbx>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3pt;width:11.25pt;mso-position-horizontal:center;mso-position-horizontal-relative:margin;mso-wrap-style:none;z-index:251659264;mso-width-relative:page;mso-height-relative:page;" filled="f" stroked="f" coordsize="21600,21600" o:gfxdata="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ocrJ0QAA&#10;AAMBAAAPAAAAAAAAAAEAIAAAACIAAABkcnMvZG93bnJldi54bWxQSwECFAAUAAAACACHTuJAqAWN&#10;vLMBAABJAwAADgAAAAAAAAABACAAAAAgAQAAZHJzL2Uyb0RvYy54bWxQSwUGAAAAAAYABgBZAQAA&#10;RQUAAAAA&#10;">
              <v:fill on="f" focussize="0,0"/>
              <v:stroke on="f"/>
              <v:imagedata o:title=""/>
              <o:lock v:ext="edit" aspectratio="f"/>
              <v:textbox inset="0mm,0mm,0mm,0mm" style="mso-fit-shape-to-text:t;">
                <w:txbxContent>
                  <w:p>
                    <w:pPr>
                      <w:snapToGrid w:val="0"/>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44</w:t>
                    </w:r>
                    <w:r>
                      <w:rPr>
                        <w:sz w:val="21"/>
                        <w:szCs w:val="21"/>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BFA3B"/>
    <w:multiLevelType w:val="singleLevel"/>
    <w:tmpl w:val="CDEBFA3B"/>
    <w:lvl w:ilvl="0" w:tentative="0">
      <w:start w:val="6"/>
      <w:numFmt w:val="decimal"/>
      <w:lvlText w:val="%1."/>
      <w:lvlJc w:val="left"/>
      <w:pPr>
        <w:tabs>
          <w:tab w:val="left" w:pos="312"/>
        </w:tabs>
        <w:ind w:left="490" w:firstLine="0"/>
      </w:pPr>
    </w:lvl>
  </w:abstractNum>
  <w:abstractNum w:abstractNumId="1">
    <w:nsid w:val="20840FF4"/>
    <w:multiLevelType w:val="multilevel"/>
    <w:tmpl w:val="20840FF4"/>
    <w:lvl w:ilvl="0" w:tentative="0">
      <w:start w:val="1"/>
      <w:numFmt w:val="decimal"/>
      <w:lvlText w:val="%1."/>
      <w:lvlJc w:val="left"/>
      <w:pPr>
        <w:ind w:left="1050" w:hanging="420"/>
      </w:p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2">
    <w:nsid w:val="3F7BE3EF"/>
    <w:multiLevelType w:val="singleLevel"/>
    <w:tmpl w:val="3F7BE3EF"/>
    <w:lvl w:ilvl="0" w:tentative="0">
      <w:start w:val="1"/>
      <w:numFmt w:val="decimal"/>
      <w:lvlText w:val="%1."/>
      <w:lvlJc w:val="left"/>
      <w:pPr>
        <w:tabs>
          <w:tab w:val="left" w:pos="312"/>
        </w:tabs>
      </w:pPr>
    </w:lvl>
  </w:abstractNum>
  <w:abstractNum w:abstractNumId="3">
    <w:nsid w:val="56F49BF3"/>
    <w:multiLevelType w:val="singleLevel"/>
    <w:tmpl w:val="56F49BF3"/>
    <w:lvl w:ilvl="0" w:tentative="0">
      <w:start w:val="4"/>
      <w:numFmt w:val="decimal"/>
      <w:suff w:val="nothing"/>
      <w:lvlText w:val="（%1）"/>
      <w:lvlJc w:val="left"/>
      <w:rPr>
        <w:rFonts w:cs="Times New Roman"/>
      </w:rPr>
    </w:lvl>
  </w:abstractNum>
  <w:abstractNum w:abstractNumId="4">
    <w:nsid w:val="759F15E1"/>
    <w:multiLevelType w:val="multilevel"/>
    <w:tmpl w:val="759F15E1"/>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xZGI1YWMzNzRiMDYzMzVkMTYyYjlhMTQwM2UwNjAifQ=="/>
  </w:docVars>
  <w:rsids>
    <w:rsidRoot w:val="299B22CA"/>
    <w:rsid w:val="00000610"/>
    <w:rsid w:val="00005562"/>
    <w:rsid w:val="00007552"/>
    <w:rsid w:val="000164E7"/>
    <w:rsid w:val="00024B79"/>
    <w:rsid w:val="00024FB9"/>
    <w:rsid w:val="00044932"/>
    <w:rsid w:val="00051F0D"/>
    <w:rsid w:val="00060880"/>
    <w:rsid w:val="00061272"/>
    <w:rsid w:val="000626DC"/>
    <w:rsid w:val="000630C6"/>
    <w:rsid w:val="00066BF3"/>
    <w:rsid w:val="00067D41"/>
    <w:rsid w:val="000724B8"/>
    <w:rsid w:val="00073028"/>
    <w:rsid w:val="000840DB"/>
    <w:rsid w:val="00090669"/>
    <w:rsid w:val="0009546A"/>
    <w:rsid w:val="000A459B"/>
    <w:rsid w:val="000B27BC"/>
    <w:rsid w:val="000C379A"/>
    <w:rsid w:val="000C57B8"/>
    <w:rsid w:val="000E38E5"/>
    <w:rsid w:val="000E41CD"/>
    <w:rsid w:val="00114EE4"/>
    <w:rsid w:val="00125A5B"/>
    <w:rsid w:val="0014359A"/>
    <w:rsid w:val="001601D4"/>
    <w:rsid w:val="001841B9"/>
    <w:rsid w:val="0019231B"/>
    <w:rsid w:val="001949EA"/>
    <w:rsid w:val="001A0285"/>
    <w:rsid w:val="001A36CF"/>
    <w:rsid w:val="001A6DEC"/>
    <w:rsid w:val="001A7FC7"/>
    <w:rsid w:val="001C01AC"/>
    <w:rsid w:val="001C0873"/>
    <w:rsid w:val="001C2C0C"/>
    <w:rsid w:val="001C6A17"/>
    <w:rsid w:val="001C6B8E"/>
    <w:rsid w:val="001D5E76"/>
    <w:rsid w:val="001E697E"/>
    <w:rsid w:val="001E76FE"/>
    <w:rsid w:val="001F5CCE"/>
    <w:rsid w:val="00200AC1"/>
    <w:rsid w:val="00201266"/>
    <w:rsid w:val="00213B77"/>
    <w:rsid w:val="00216314"/>
    <w:rsid w:val="0022098B"/>
    <w:rsid w:val="00241A1E"/>
    <w:rsid w:val="0025186F"/>
    <w:rsid w:val="0027351D"/>
    <w:rsid w:val="002A05F0"/>
    <w:rsid w:val="002B4DDA"/>
    <w:rsid w:val="002B52A9"/>
    <w:rsid w:val="002B535B"/>
    <w:rsid w:val="002B53F1"/>
    <w:rsid w:val="002B6884"/>
    <w:rsid w:val="002D658A"/>
    <w:rsid w:val="002E73EA"/>
    <w:rsid w:val="0030605A"/>
    <w:rsid w:val="0031141D"/>
    <w:rsid w:val="0031452E"/>
    <w:rsid w:val="00321AB4"/>
    <w:rsid w:val="00322C8A"/>
    <w:rsid w:val="00323074"/>
    <w:rsid w:val="0032580F"/>
    <w:rsid w:val="00343C05"/>
    <w:rsid w:val="00343C2F"/>
    <w:rsid w:val="00356190"/>
    <w:rsid w:val="003561F2"/>
    <w:rsid w:val="00367D70"/>
    <w:rsid w:val="0037076E"/>
    <w:rsid w:val="00382D73"/>
    <w:rsid w:val="00386E14"/>
    <w:rsid w:val="003A047D"/>
    <w:rsid w:val="003A697B"/>
    <w:rsid w:val="003B0F69"/>
    <w:rsid w:val="003B128B"/>
    <w:rsid w:val="003D4B0E"/>
    <w:rsid w:val="003D668B"/>
    <w:rsid w:val="003E29D8"/>
    <w:rsid w:val="003F1F57"/>
    <w:rsid w:val="003F700B"/>
    <w:rsid w:val="004078D7"/>
    <w:rsid w:val="00432C56"/>
    <w:rsid w:val="00435941"/>
    <w:rsid w:val="00444310"/>
    <w:rsid w:val="004460CA"/>
    <w:rsid w:val="004779E4"/>
    <w:rsid w:val="004823FE"/>
    <w:rsid w:val="004B224A"/>
    <w:rsid w:val="004B2533"/>
    <w:rsid w:val="004C0C12"/>
    <w:rsid w:val="004D0360"/>
    <w:rsid w:val="004D76E8"/>
    <w:rsid w:val="004E115B"/>
    <w:rsid w:val="004F030C"/>
    <w:rsid w:val="004F58EA"/>
    <w:rsid w:val="0051765E"/>
    <w:rsid w:val="00517AFA"/>
    <w:rsid w:val="00521592"/>
    <w:rsid w:val="005226BC"/>
    <w:rsid w:val="00532CC6"/>
    <w:rsid w:val="00533ED8"/>
    <w:rsid w:val="0053449A"/>
    <w:rsid w:val="00534D3E"/>
    <w:rsid w:val="00537B0D"/>
    <w:rsid w:val="005551A5"/>
    <w:rsid w:val="00576E0A"/>
    <w:rsid w:val="0058533F"/>
    <w:rsid w:val="005A3430"/>
    <w:rsid w:val="005C06CB"/>
    <w:rsid w:val="005C12C2"/>
    <w:rsid w:val="005D375D"/>
    <w:rsid w:val="005D3D12"/>
    <w:rsid w:val="005F2CC9"/>
    <w:rsid w:val="005F7CA4"/>
    <w:rsid w:val="00605B5E"/>
    <w:rsid w:val="0061151C"/>
    <w:rsid w:val="006218E7"/>
    <w:rsid w:val="00621B1C"/>
    <w:rsid w:val="00624C15"/>
    <w:rsid w:val="00626D30"/>
    <w:rsid w:val="006276C7"/>
    <w:rsid w:val="0063488B"/>
    <w:rsid w:val="00643E90"/>
    <w:rsid w:val="00652AF8"/>
    <w:rsid w:val="00663669"/>
    <w:rsid w:val="00663BB6"/>
    <w:rsid w:val="00671D9A"/>
    <w:rsid w:val="00680A6C"/>
    <w:rsid w:val="006879E2"/>
    <w:rsid w:val="006924C5"/>
    <w:rsid w:val="006958A0"/>
    <w:rsid w:val="006A4F53"/>
    <w:rsid w:val="006B2993"/>
    <w:rsid w:val="006B5377"/>
    <w:rsid w:val="006C0D6A"/>
    <w:rsid w:val="006C4A66"/>
    <w:rsid w:val="00706A6A"/>
    <w:rsid w:val="007166FA"/>
    <w:rsid w:val="0071766C"/>
    <w:rsid w:val="00730EE9"/>
    <w:rsid w:val="00734AC1"/>
    <w:rsid w:val="00736CE7"/>
    <w:rsid w:val="007421AF"/>
    <w:rsid w:val="00753B4B"/>
    <w:rsid w:val="00764ADB"/>
    <w:rsid w:val="00772209"/>
    <w:rsid w:val="007A19F8"/>
    <w:rsid w:val="007C0D96"/>
    <w:rsid w:val="007D0F9D"/>
    <w:rsid w:val="007D5FA7"/>
    <w:rsid w:val="007D63F7"/>
    <w:rsid w:val="007D7C4A"/>
    <w:rsid w:val="007E014D"/>
    <w:rsid w:val="007E391D"/>
    <w:rsid w:val="007F7141"/>
    <w:rsid w:val="008007B3"/>
    <w:rsid w:val="00830D2A"/>
    <w:rsid w:val="00831C32"/>
    <w:rsid w:val="008333E9"/>
    <w:rsid w:val="0084390F"/>
    <w:rsid w:val="00844344"/>
    <w:rsid w:val="008477FB"/>
    <w:rsid w:val="00847D82"/>
    <w:rsid w:val="00856EBF"/>
    <w:rsid w:val="00861E8D"/>
    <w:rsid w:val="00863FF8"/>
    <w:rsid w:val="008659BC"/>
    <w:rsid w:val="00871C6E"/>
    <w:rsid w:val="00884FCC"/>
    <w:rsid w:val="00894E1D"/>
    <w:rsid w:val="008A0F41"/>
    <w:rsid w:val="008A69CC"/>
    <w:rsid w:val="008C6090"/>
    <w:rsid w:val="008F5AA8"/>
    <w:rsid w:val="009155FB"/>
    <w:rsid w:val="00917B9F"/>
    <w:rsid w:val="00920636"/>
    <w:rsid w:val="009309C0"/>
    <w:rsid w:val="009320AC"/>
    <w:rsid w:val="009331D3"/>
    <w:rsid w:val="00934A2A"/>
    <w:rsid w:val="00936641"/>
    <w:rsid w:val="00942CE8"/>
    <w:rsid w:val="009449CC"/>
    <w:rsid w:val="00946375"/>
    <w:rsid w:val="0095355F"/>
    <w:rsid w:val="009559DA"/>
    <w:rsid w:val="00956612"/>
    <w:rsid w:val="00960DF5"/>
    <w:rsid w:val="00970697"/>
    <w:rsid w:val="00997FD8"/>
    <w:rsid w:val="009A0E27"/>
    <w:rsid w:val="009A6183"/>
    <w:rsid w:val="009A6DAC"/>
    <w:rsid w:val="009B7D87"/>
    <w:rsid w:val="009D4B48"/>
    <w:rsid w:val="009D78AE"/>
    <w:rsid w:val="009E0985"/>
    <w:rsid w:val="009E1553"/>
    <w:rsid w:val="009E183C"/>
    <w:rsid w:val="009E2348"/>
    <w:rsid w:val="009E3231"/>
    <w:rsid w:val="009E3483"/>
    <w:rsid w:val="009E723B"/>
    <w:rsid w:val="00A03A8D"/>
    <w:rsid w:val="00A173DA"/>
    <w:rsid w:val="00A31AC8"/>
    <w:rsid w:val="00A320D3"/>
    <w:rsid w:val="00A47C93"/>
    <w:rsid w:val="00A560F2"/>
    <w:rsid w:val="00A70627"/>
    <w:rsid w:val="00A7459A"/>
    <w:rsid w:val="00A83E3D"/>
    <w:rsid w:val="00A84C8D"/>
    <w:rsid w:val="00A95077"/>
    <w:rsid w:val="00A955C2"/>
    <w:rsid w:val="00AA796E"/>
    <w:rsid w:val="00AB399A"/>
    <w:rsid w:val="00AB6008"/>
    <w:rsid w:val="00AD0D11"/>
    <w:rsid w:val="00AF1D24"/>
    <w:rsid w:val="00B01EF4"/>
    <w:rsid w:val="00B05238"/>
    <w:rsid w:val="00B06ED7"/>
    <w:rsid w:val="00B228E1"/>
    <w:rsid w:val="00B25B00"/>
    <w:rsid w:val="00B43B82"/>
    <w:rsid w:val="00B5143E"/>
    <w:rsid w:val="00B530EB"/>
    <w:rsid w:val="00B5680A"/>
    <w:rsid w:val="00B70271"/>
    <w:rsid w:val="00B81E60"/>
    <w:rsid w:val="00BA704A"/>
    <w:rsid w:val="00BA74E8"/>
    <w:rsid w:val="00BC7B5B"/>
    <w:rsid w:val="00BD56C3"/>
    <w:rsid w:val="00BE169B"/>
    <w:rsid w:val="00BE5048"/>
    <w:rsid w:val="00BF5DF8"/>
    <w:rsid w:val="00C03B9B"/>
    <w:rsid w:val="00C2185D"/>
    <w:rsid w:val="00C23CFF"/>
    <w:rsid w:val="00C242DA"/>
    <w:rsid w:val="00C30BB9"/>
    <w:rsid w:val="00C3305F"/>
    <w:rsid w:val="00C461FC"/>
    <w:rsid w:val="00C478C9"/>
    <w:rsid w:val="00C53C3B"/>
    <w:rsid w:val="00C95AAD"/>
    <w:rsid w:val="00CA06B0"/>
    <w:rsid w:val="00CA5282"/>
    <w:rsid w:val="00CB28E9"/>
    <w:rsid w:val="00CB2A9A"/>
    <w:rsid w:val="00CC771C"/>
    <w:rsid w:val="00CD48B6"/>
    <w:rsid w:val="00CD4B71"/>
    <w:rsid w:val="00CD6F89"/>
    <w:rsid w:val="00D071DB"/>
    <w:rsid w:val="00D11446"/>
    <w:rsid w:val="00D24A2A"/>
    <w:rsid w:val="00D24B9E"/>
    <w:rsid w:val="00D3699B"/>
    <w:rsid w:val="00D53456"/>
    <w:rsid w:val="00D8745D"/>
    <w:rsid w:val="00D96BBD"/>
    <w:rsid w:val="00DB4CA8"/>
    <w:rsid w:val="00DD1D02"/>
    <w:rsid w:val="00DD332B"/>
    <w:rsid w:val="00DD6169"/>
    <w:rsid w:val="00E0276C"/>
    <w:rsid w:val="00E25797"/>
    <w:rsid w:val="00E35592"/>
    <w:rsid w:val="00E43DF8"/>
    <w:rsid w:val="00E53E8D"/>
    <w:rsid w:val="00E57F6F"/>
    <w:rsid w:val="00E63E51"/>
    <w:rsid w:val="00E71161"/>
    <w:rsid w:val="00E83356"/>
    <w:rsid w:val="00E93EAC"/>
    <w:rsid w:val="00E95886"/>
    <w:rsid w:val="00EA2618"/>
    <w:rsid w:val="00EB4855"/>
    <w:rsid w:val="00ED1072"/>
    <w:rsid w:val="00ED1508"/>
    <w:rsid w:val="00EF2AFF"/>
    <w:rsid w:val="00EF493C"/>
    <w:rsid w:val="00F02D02"/>
    <w:rsid w:val="00F1111E"/>
    <w:rsid w:val="00F14857"/>
    <w:rsid w:val="00F27A8E"/>
    <w:rsid w:val="00F42071"/>
    <w:rsid w:val="00F43466"/>
    <w:rsid w:val="00F43FE8"/>
    <w:rsid w:val="00F46632"/>
    <w:rsid w:val="00F46EA7"/>
    <w:rsid w:val="00F60347"/>
    <w:rsid w:val="00F661D9"/>
    <w:rsid w:val="00F76559"/>
    <w:rsid w:val="00F76D79"/>
    <w:rsid w:val="00F777B4"/>
    <w:rsid w:val="00F82503"/>
    <w:rsid w:val="00F86170"/>
    <w:rsid w:val="00F86C1B"/>
    <w:rsid w:val="00F94BFF"/>
    <w:rsid w:val="00F95263"/>
    <w:rsid w:val="00FA02F8"/>
    <w:rsid w:val="00FB487B"/>
    <w:rsid w:val="00FB74BE"/>
    <w:rsid w:val="00FD6072"/>
    <w:rsid w:val="00FE43EF"/>
    <w:rsid w:val="00FE78B6"/>
    <w:rsid w:val="00FF446E"/>
    <w:rsid w:val="0116020A"/>
    <w:rsid w:val="017755C5"/>
    <w:rsid w:val="018736C9"/>
    <w:rsid w:val="01F05372"/>
    <w:rsid w:val="025129CA"/>
    <w:rsid w:val="026A2E5E"/>
    <w:rsid w:val="02781762"/>
    <w:rsid w:val="028D782E"/>
    <w:rsid w:val="0296780A"/>
    <w:rsid w:val="0311340F"/>
    <w:rsid w:val="04601651"/>
    <w:rsid w:val="049303FC"/>
    <w:rsid w:val="04984D8F"/>
    <w:rsid w:val="061A2B5F"/>
    <w:rsid w:val="065C3CB9"/>
    <w:rsid w:val="067F41B9"/>
    <w:rsid w:val="06CA0570"/>
    <w:rsid w:val="06F45F61"/>
    <w:rsid w:val="078E6A84"/>
    <w:rsid w:val="07FB2787"/>
    <w:rsid w:val="083C5845"/>
    <w:rsid w:val="095C31BA"/>
    <w:rsid w:val="0968424D"/>
    <w:rsid w:val="09CB74B9"/>
    <w:rsid w:val="0A264929"/>
    <w:rsid w:val="0AD30C4E"/>
    <w:rsid w:val="0AFF049B"/>
    <w:rsid w:val="0B9B2D24"/>
    <w:rsid w:val="0BA96F19"/>
    <w:rsid w:val="0C2306DD"/>
    <w:rsid w:val="0CC85E3F"/>
    <w:rsid w:val="0DD63E2C"/>
    <w:rsid w:val="0E9710CB"/>
    <w:rsid w:val="0EFA5D8B"/>
    <w:rsid w:val="0EFF0CAB"/>
    <w:rsid w:val="0F0031EA"/>
    <w:rsid w:val="0F3107AB"/>
    <w:rsid w:val="0F42079C"/>
    <w:rsid w:val="100F0B41"/>
    <w:rsid w:val="10606175"/>
    <w:rsid w:val="109C5317"/>
    <w:rsid w:val="10A80174"/>
    <w:rsid w:val="10B9672D"/>
    <w:rsid w:val="10DB5179"/>
    <w:rsid w:val="11B127D5"/>
    <w:rsid w:val="11D038FC"/>
    <w:rsid w:val="12384F8B"/>
    <w:rsid w:val="12A00704"/>
    <w:rsid w:val="12C12A16"/>
    <w:rsid w:val="12E21A99"/>
    <w:rsid w:val="12ED2BDD"/>
    <w:rsid w:val="12F402AD"/>
    <w:rsid w:val="13432A6B"/>
    <w:rsid w:val="13634D37"/>
    <w:rsid w:val="136B65AA"/>
    <w:rsid w:val="141B65EF"/>
    <w:rsid w:val="14425EEA"/>
    <w:rsid w:val="14E43977"/>
    <w:rsid w:val="15861113"/>
    <w:rsid w:val="159B16E1"/>
    <w:rsid w:val="162F11A4"/>
    <w:rsid w:val="167F60CD"/>
    <w:rsid w:val="16984D05"/>
    <w:rsid w:val="16BC70D3"/>
    <w:rsid w:val="16D44F3A"/>
    <w:rsid w:val="17063F86"/>
    <w:rsid w:val="174D1AC5"/>
    <w:rsid w:val="19655431"/>
    <w:rsid w:val="196B6049"/>
    <w:rsid w:val="1A8F7B81"/>
    <w:rsid w:val="1AF372A5"/>
    <w:rsid w:val="1BF605C2"/>
    <w:rsid w:val="1C3F1CA6"/>
    <w:rsid w:val="1C6212F5"/>
    <w:rsid w:val="1CE52A93"/>
    <w:rsid w:val="1ED43502"/>
    <w:rsid w:val="1ED562B7"/>
    <w:rsid w:val="1FEEC747"/>
    <w:rsid w:val="20B353D5"/>
    <w:rsid w:val="20B61A2E"/>
    <w:rsid w:val="21205DF0"/>
    <w:rsid w:val="2149251F"/>
    <w:rsid w:val="21742671"/>
    <w:rsid w:val="223823CF"/>
    <w:rsid w:val="22B76C7F"/>
    <w:rsid w:val="22FF2B5A"/>
    <w:rsid w:val="231E28EF"/>
    <w:rsid w:val="238B47E4"/>
    <w:rsid w:val="23AE20B9"/>
    <w:rsid w:val="23B93A53"/>
    <w:rsid w:val="23DE03F4"/>
    <w:rsid w:val="24094586"/>
    <w:rsid w:val="256A3E83"/>
    <w:rsid w:val="257B2AAA"/>
    <w:rsid w:val="25927668"/>
    <w:rsid w:val="25AF03EC"/>
    <w:rsid w:val="25B40316"/>
    <w:rsid w:val="25DF2CC2"/>
    <w:rsid w:val="25E35C97"/>
    <w:rsid w:val="26303381"/>
    <w:rsid w:val="27175F4E"/>
    <w:rsid w:val="27874AEC"/>
    <w:rsid w:val="27A16FEA"/>
    <w:rsid w:val="27E77A9B"/>
    <w:rsid w:val="28D16930"/>
    <w:rsid w:val="28DE122B"/>
    <w:rsid w:val="299B22CA"/>
    <w:rsid w:val="29BD2EE8"/>
    <w:rsid w:val="2A0647A1"/>
    <w:rsid w:val="2A3C7BE7"/>
    <w:rsid w:val="2B221A44"/>
    <w:rsid w:val="2BC325F2"/>
    <w:rsid w:val="2BDC2B72"/>
    <w:rsid w:val="2BE62675"/>
    <w:rsid w:val="2CC34981"/>
    <w:rsid w:val="2D3929D8"/>
    <w:rsid w:val="2D43330D"/>
    <w:rsid w:val="2E156F40"/>
    <w:rsid w:val="2E3E7943"/>
    <w:rsid w:val="2EB66CDD"/>
    <w:rsid w:val="2EC1772E"/>
    <w:rsid w:val="2EF71400"/>
    <w:rsid w:val="2EFD37A8"/>
    <w:rsid w:val="2F93266E"/>
    <w:rsid w:val="2F9D1EFE"/>
    <w:rsid w:val="2FA679F5"/>
    <w:rsid w:val="2FEA59B1"/>
    <w:rsid w:val="2FEB1E47"/>
    <w:rsid w:val="309B587F"/>
    <w:rsid w:val="30FE5593"/>
    <w:rsid w:val="314849D9"/>
    <w:rsid w:val="3157206F"/>
    <w:rsid w:val="31760710"/>
    <w:rsid w:val="317E4237"/>
    <w:rsid w:val="3196137D"/>
    <w:rsid w:val="32941C9E"/>
    <w:rsid w:val="331E72F4"/>
    <w:rsid w:val="338A2633"/>
    <w:rsid w:val="33D10758"/>
    <w:rsid w:val="33D11EE5"/>
    <w:rsid w:val="33E235CE"/>
    <w:rsid w:val="345C648E"/>
    <w:rsid w:val="346374FC"/>
    <w:rsid w:val="34C63207"/>
    <w:rsid w:val="34D6502F"/>
    <w:rsid w:val="359F52FD"/>
    <w:rsid w:val="36021A79"/>
    <w:rsid w:val="36136C5D"/>
    <w:rsid w:val="36F10A61"/>
    <w:rsid w:val="37223CCA"/>
    <w:rsid w:val="37226BDE"/>
    <w:rsid w:val="37345ED0"/>
    <w:rsid w:val="374546F9"/>
    <w:rsid w:val="37752AD9"/>
    <w:rsid w:val="37CA3DAE"/>
    <w:rsid w:val="37EA19A3"/>
    <w:rsid w:val="381B262E"/>
    <w:rsid w:val="388E366A"/>
    <w:rsid w:val="38C56256"/>
    <w:rsid w:val="394D1568"/>
    <w:rsid w:val="3952719C"/>
    <w:rsid w:val="397C28A3"/>
    <w:rsid w:val="39B7056B"/>
    <w:rsid w:val="39E7037D"/>
    <w:rsid w:val="3A6F6A6B"/>
    <w:rsid w:val="3A781BA3"/>
    <w:rsid w:val="3A803629"/>
    <w:rsid w:val="3AC135DA"/>
    <w:rsid w:val="3AD66993"/>
    <w:rsid w:val="3BCB9ECF"/>
    <w:rsid w:val="3C2C389A"/>
    <w:rsid w:val="3C6109EE"/>
    <w:rsid w:val="3C9C6F42"/>
    <w:rsid w:val="3CB252F6"/>
    <w:rsid w:val="3D1E7A7D"/>
    <w:rsid w:val="3D1F5093"/>
    <w:rsid w:val="3D2077DC"/>
    <w:rsid w:val="3D2B7D1F"/>
    <w:rsid w:val="3D611D56"/>
    <w:rsid w:val="3DB30AF2"/>
    <w:rsid w:val="3DF25BF5"/>
    <w:rsid w:val="3DFDE946"/>
    <w:rsid w:val="3E163AF4"/>
    <w:rsid w:val="3E5B2ADF"/>
    <w:rsid w:val="3E656C56"/>
    <w:rsid w:val="3E6D61D5"/>
    <w:rsid w:val="3E8A3121"/>
    <w:rsid w:val="3EA43374"/>
    <w:rsid w:val="3EE725DB"/>
    <w:rsid w:val="3F7D6E58"/>
    <w:rsid w:val="3F8528AC"/>
    <w:rsid w:val="3FBF861E"/>
    <w:rsid w:val="3FD5436B"/>
    <w:rsid w:val="407B1C38"/>
    <w:rsid w:val="414E3D14"/>
    <w:rsid w:val="41E32B53"/>
    <w:rsid w:val="42C24CD0"/>
    <w:rsid w:val="42FE5C3B"/>
    <w:rsid w:val="430D2EC0"/>
    <w:rsid w:val="430D773A"/>
    <w:rsid w:val="4377379B"/>
    <w:rsid w:val="437D74B1"/>
    <w:rsid w:val="44904438"/>
    <w:rsid w:val="44D3748D"/>
    <w:rsid w:val="44D95CEF"/>
    <w:rsid w:val="44F67DAC"/>
    <w:rsid w:val="44F75551"/>
    <w:rsid w:val="45B002EA"/>
    <w:rsid w:val="45D51A45"/>
    <w:rsid w:val="461C143A"/>
    <w:rsid w:val="462A60F9"/>
    <w:rsid w:val="476127F5"/>
    <w:rsid w:val="481440E3"/>
    <w:rsid w:val="48D37C18"/>
    <w:rsid w:val="491D09FF"/>
    <w:rsid w:val="4976D871"/>
    <w:rsid w:val="4980551B"/>
    <w:rsid w:val="49A31BD9"/>
    <w:rsid w:val="4A6B6B24"/>
    <w:rsid w:val="4B091F2D"/>
    <w:rsid w:val="4B370EDA"/>
    <w:rsid w:val="4CAC7DC7"/>
    <w:rsid w:val="4CE37C46"/>
    <w:rsid w:val="4D3D5BB0"/>
    <w:rsid w:val="4D5122B9"/>
    <w:rsid w:val="4D7910D6"/>
    <w:rsid w:val="4DAF400D"/>
    <w:rsid w:val="4E5D7173"/>
    <w:rsid w:val="4F602D6F"/>
    <w:rsid w:val="4F7139B2"/>
    <w:rsid w:val="4F721749"/>
    <w:rsid w:val="4F783A29"/>
    <w:rsid w:val="4FDE1469"/>
    <w:rsid w:val="50207798"/>
    <w:rsid w:val="511C1109"/>
    <w:rsid w:val="514B1653"/>
    <w:rsid w:val="51AB17EE"/>
    <w:rsid w:val="51BD0AE0"/>
    <w:rsid w:val="533C480F"/>
    <w:rsid w:val="533D026F"/>
    <w:rsid w:val="54A921C3"/>
    <w:rsid w:val="54F526E4"/>
    <w:rsid w:val="56575DCB"/>
    <w:rsid w:val="56600ACF"/>
    <w:rsid w:val="56D74F29"/>
    <w:rsid w:val="570E4509"/>
    <w:rsid w:val="57640B5A"/>
    <w:rsid w:val="579F27E3"/>
    <w:rsid w:val="5807212E"/>
    <w:rsid w:val="58F55C2C"/>
    <w:rsid w:val="594A251C"/>
    <w:rsid w:val="5951217A"/>
    <w:rsid w:val="5B7FC5CC"/>
    <w:rsid w:val="5BAA4FEB"/>
    <w:rsid w:val="5BC35342"/>
    <w:rsid w:val="5CA02632"/>
    <w:rsid w:val="5CD41662"/>
    <w:rsid w:val="5E4A54E0"/>
    <w:rsid w:val="5E613DA9"/>
    <w:rsid w:val="5E6E2206"/>
    <w:rsid w:val="5EA609BA"/>
    <w:rsid w:val="5ED4509C"/>
    <w:rsid w:val="5EF14568"/>
    <w:rsid w:val="5EF80A79"/>
    <w:rsid w:val="5F17516E"/>
    <w:rsid w:val="5F821ABF"/>
    <w:rsid w:val="5FB61676"/>
    <w:rsid w:val="5FBD4FC8"/>
    <w:rsid w:val="5FC12066"/>
    <w:rsid w:val="5FDEA0CE"/>
    <w:rsid w:val="60210070"/>
    <w:rsid w:val="6045153C"/>
    <w:rsid w:val="609453B0"/>
    <w:rsid w:val="611253AE"/>
    <w:rsid w:val="61892E9F"/>
    <w:rsid w:val="61A652E7"/>
    <w:rsid w:val="623D1E69"/>
    <w:rsid w:val="628C048B"/>
    <w:rsid w:val="62D71345"/>
    <w:rsid w:val="6306616B"/>
    <w:rsid w:val="63A15BBE"/>
    <w:rsid w:val="64796C97"/>
    <w:rsid w:val="653032DD"/>
    <w:rsid w:val="654376CD"/>
    <w:rsid w:val="65D00528"/>
    <w:rsid w:val="665C0A90"/>
    <w:rsid w:val="682164EE"/>
    <w:rsid w:val="688C0E30"/>
    <w:rsid w:val="68B0386F"/>
    <w:rsid w:val="68D500D3"/>
    <w:rsid w:val="690C575F"/>
    <w:rsid w:val="69A728E1"/>
    <w:rsid w:val="69AA77DE"/>
    <w:rsid w:val="69EE1F9E"/>
    <w:rsid w:val="69F77CA5"/>
    <w:rsid w:val="6A13651C"/>
    <w:rsid w:val="6A2532D0"/>
    <w:rsid w:val="6B086F47"/>
    <w:rsid w:val="6B5F5618"/>
    <w:rsid w:val="6C3B4F4B"/>
    <w:rsid w:val="6C454DF7"/>
    <w:rsid w:val="6C473F6D"/>
    <w:rsid w:val="6C772C07"/>
    <w:rsid w:val="6C9D51BB"/>
    <w:rsid w:val="6CA231A5"/>
    <w:rsid w:val="6D535020"/>
    <w:rsid w:val="6DA0695C"/>
    <w:rsid w:val="6EBE4DA9"/>
    <w:rsid w:val="6ED75507"/>
    <w:rsid w:val="6EDA6D10"/>
    <w:rsid w:val="6EDF7956"/>
    <w:rsid w:val="6F452A30"/>
    <w:rsid w:val="6FF66A6C"/>
    <w:rsid w:val="702C12C5"/>
    <w:rsid w:val="704D0E09"/>
    <w:rsid w:val="709928CA"/>
    <w:rsid w:val="710010BC"/>
    <w:rsid w:val="73EF71B2"/>
    <w:rsid w:val="742C58AA"/>
    <w:rsid w:val="747024FB"/>
    <w:rsid w:val="7481062F"/>
    <w:rsid w:val="74D357CA"/>
    <w:rsid w:val="74D5BD23"/>
    <w:rsid w:val="74EE52E9"/>
    <w:rsid w:val="752D5397"/>
    <w:rsid w:val="75C11C5F"/>
    <w:rsid w:val="75CE5EC7"/>
    <w:rsid w:val="7660240F"/>
    <w:rsid w:val="76D059E7"/>
    <w:rsid w:val="76FAC947"/>
    <w:rsid w:val="776A0093"/>
    <w:rsid w:val="778A12F0"/>
    <w:rsid w:val="779BF4DE"/>
    <w:rsid w:val="77A11E3E"/>
    <w:rsid w:val="77E54EB0"/>
    <w:rsid w:val="780041ED"/>
    <w:rsid w:val="7837EA2C"/>
    <w:rsid w:val="78BC4B9C"/>
    <w:rsid w:val="793337A6"/>
    <w:rsid w:val="79950744"/>
    <w:rsid w:val="7A39557E"/>
    <w:rsid w:val="7A3B2DB0"/>
    <w:rsid w:val="7A3C1AC1"/>
    <w:rsid w:val="7AE62DCF"/>
    <w:rsid w:val="7AE6605E"/>
    <w:rsid w:val="7B0B533E"/>
    <w:rsid w:val="7B136D19"/>
    <w:rsid w:val="7B914D78"/>
    <w:rsid w:val="7CE072F2"/>
    <w:rsid w:val="7CEB8961"/>
    <w:rsid w:val="7D3E5B48"/>
    <w:rsid w:val="7DC4619C"/>
    <w:rsid w:val="7DCFA8C2"/>
    <w:rsid w:val="7EFF38E5"/>
    <w:rsid w:val="7F9F0E06"/>
    <w:rsid w:val="7FB6D9F1"/>
    <w:rsid w:val="7FBC21A2"/>
    <w:rsid w:val="7FDF3EF7"/>
    <w:rsid w:val="7FF7AD66"/>
    <w:rsid w:val="7FF9E182"/>
    <w:rsid w:val="97DF1CE3"/>
    <w:rsid w:val="A1F739B9"/>
    <w:rsid w:val="B7DF0EA2"/>
    <w:rsid w:val="BD77BD82"/>
    <w:rsid w:val="BE33505B"/>
    <w:rsid w:val="BFF91324"/>
    <w:rsid w:val="CEF72C45"/>
    <w:rsid w:val="D7D654FC"/>
    <w:rsid w:val="DD77B998"/>
    <w:rsid w:val="E6D66558"/>
    <w:rsid w:val="E7FEC171"/>
    <w:rsid w:val="EEF7E737"/>
    <w:rsid w:val="EEFF92C4"/>
    <w:rsid w:val="EF7F4AB9"/>
    <w:rsid w:val="F7FF5505"/>
    <w:rsid w:val="FBFE042B"/>
    <w:rsid w:val="FC3FB678"/>
    <w:rsid w:val="FCDF57B7"/>
    <w:rsid w:val="FDAD2728"/>
    <w:rsid w:val="FDEC95D0"/>
    <w:rsid w:val="FFFD2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3">
    <w:name w:val="heading 1"/>
    <w:basedOn w:val="1"/>
    <w:next w:val="1"/>
    <w:qFormat/>
    <w:uiPriority w:val="99"/>
    <w:pPr>
      <w:keepNext/>
      <w:keepLines/>
      <w:spacing w:line="360" w:lineRule="auto"/>
      <w:outlineLvl w:val="0"/>
    </w:pPr>
    <w:rPr>
      <w:rFonts w:ascii="Times New Roman"/>
      <w:b/>
      <w:kern w:val="44"/>
      <w:sz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b/>
      <w:kern w:val="2"/>
      <w:sz w:val="32"/>
    </w:rPr>
  </w:style>
  <w:style w:type="paragraph" w:styleId="5">
    <w:name w:val="heading 3"/>
    <w:basedOn w:val="1"/>
    <w:next w:val="1"/>
    <w:qFormat/>
    <w:uiPriority w:val="99"/>
    <w:pPr>
      <w:keepNext/>
      <w:keepLines/>
      <w:spacing w:line="360" w:lineRule="auto"/>
      <w:outlineLvl w:val="2"/>
    </w:pPr>
    <w:rPr>
      <w:rFonts w:ascii="Times New Roman"/>
      <w:b/>
      <w:kern w:val="2"/>
      <w:sz w:val="32"/>
    </w:rPr>
  </w:style>
  <w:style w:type="paragraph" w:styleId="6">
    <w:name w:val="heading 4"/>
    <w:basedOn w:val="1"/>
    <w:next w:val="1"/>
    <w:qFormat/>
    <w:uiPriority w:val="99"/>
    <w:pPr>
      <w:keepNext/>
      <w:keepLines/>
      <w:spacing w:line="360" w:lineRule="auto"/>
      <w:outlineLvl w:val="3"/>
    </w:pPr>
    <w:rPr>
      <w:rFonts w:ascii="Arial" w:hAnsi="Arial"/>
      <w:b/>
      <w:kern w:val="2"/>
      <w:sz w:val="28"/>
    </w:rPr>
  </w:style>
  <w:style w:type="character" w:default="1" w:styleId="18">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Times New Roman"/>
      <w:kern w:val="2"/>
      <w:sz w:val="21"/>
    </w:rPr>
  </w:style>
  <w:style w:type="paragraph" w:styleId="7">
    <w:name w:val="annotation text"/>
    <w:basedOn w:val="1"/>
    <w:link w:val="31"/>
    <w:qFormat/>
    <w:uiPriority w:val="99"/>
    <w:pPr>
      <w:jc w:val="left"/>
    </w:pPr>
    <w:rPr>
      <w:rFonts w:ascii="Times New Roman"/>
      <w:kern w:val="2"/>
      <w:sz w:val="24"/>
    </w:rPr>
  </w:style>
  <w:style w:type="paragraph" w:styleId="8">
    <w:name w:val="Body Text Indent"/>
    <w:basedOn w:val="1"/>
    <w:qFormat/>
    <w:uiPriority w:val="99"/>
    <w:pPr>
      <w:spacing w:line="360" w:lineRule="auto"/>
      <w:ind w:firstLine="435"/>
    </w:pPr>
    <w:rPr>
      <w:rFonts w:ascii="Times New Roman"/>
      <w:kern w:val="2"/>
      <w:sz w:val="24"/>
    </w:rPr>
  </w:style>
  <w:style w:type="paragraph" w:styleId="9">
    <w:name w:val="Balloon Text"/>
    <w:basedOn w:val="1"/>
    <w:link w:val="29"/>
    <w:qFormat/>
    <w:uiPriority w:val="0"/>
    <w:rPr>
      <w:sz w:val="18"/>
      <w:szCs w:val="18"/>
    </w:rPr>
  </w:style>
  <w:style w:type="paragraph" w:styleId="10">
    <w:name w:val="footer"/>
    <w:basedOn w:val="1"/>
    <w:qFormat/>
    <w:uiPriority w:val="99"/>
    <w:pPr>
      <w:tabs>
        <w:tab w:val="center" w:pos="4153"/>
        <w:tab w:val="right" w:pos="8306"/>
      </w:tabs>
      <w:snapToGrid w:val="0"/>
      <w:jc w:val="left"/>
    </w:pPr>
    <w:rPr>
      <w:rFonts w:ascii="Times New Roman"/>
      <w:kern w:val="2"/>
      <w:sz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b/>
      <w:bCs/>
      <w:caps/>
      <w:sz w:val="20"/>
    </w:rPr>
  </w:style>
  <w:style w:type="paragraph" w:styleId="13">
    <w:name w:val="Normal (Web)"/>
    <w:basedOn w:val="1"/>
    <w:qFormat/>
    <w:uiPriority w:val="0"/>
    <w:pPr>
      <w:widowControl/>
      <w:spacing w:before="100" w:beforeAutospacing="1" w:after="100" w:afterAutospacing="1"/>
      <w:jc w:val="left"/>
    </w:pPr>
    <w:rPr>
      <w:rFonts w:hAnsi="宋体" w:cs="宋体"/>
      <w:sz w:val="24"/>
    </w:rPr>
  </w:style>
  <w:style w:type="paragraph" w:styleId="14">
    <w:name w:val="annotation subject"/>
    <w:basedOn w:val="7"/>
    <w:next w:val="7"/>
    <w:link w:val="32"/>
    <w:qFormat/>
    <w:uiPriority w:val="0"/>
    <w:rPr>
      <w:rFonts w:ascii="宋体"/>
      <w:b/>
      <w:bCs/>
      <w:kern w:val="0"/>
      <w:sz w:val="34"/>
    </w:rPr>
  </w:style>
  <w:style w:type="paragraph" w:styleId="15">
    <w:name w:val="Body Text First Indent 2"/>
    <w:basedOn w:val="1"/>
    <w:next w:val="1"/>
    <w:qFormat/>
    <w:uiPriority w:val="0"/>
    <w:pPr>
      <w:ind w:firstLine="420" w:firstLineChars="200"/>
    </w:pPr>
    <w:rPr>
      <w:rFonts w:ascii="Calibri" w:hAnsi="Calibri"/>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954F72" w:themeColor="followedHyperlink"/>
      <w:u w:val="single"/>
      <w14:textFill>
        <w14:solidFill>
          <w14:schemeClr w14:val="folHlink"/>
        </w14:solidFill>
      </w14:textFill>
    </w:rPr>
  </w:style>
  <w:style w:type="character" w:styleId="20">
    <w:name w:val="Hyperlink"/>
    <w:qFormat/>
    <w:uiPriority w:val="99"/>
    <w:rPr>
      <w:rFonts w:cs="Times New Roman"/>
      <w:color w:val="2D64B3"/>
      <w:u w:val="none"/>
    </w:rPr>
  </w:style>
  <w:style w:type="character" w:styleId="21">
    <w:name w:val="annotation reference"/>
    <w:basedOn w:val="18"/>
    <w:qFormat/>
    <w:uiPriority w:val="0"/>
    <w:rPr>
      <w:sz w:val="21"/>
      <w:szCs w:val="21"/>
    </w:rPr>
  </w:style>
  <w:style w:type="paragraph" w:customStyle="1" w:styleId="22">
    <w:name w:val="TOC Heading1"/>
    <w:basedOn w:val="3"/>
    <w:next w:val="1"/>
    <w:qFormat/>
    <w:uiPriority w:val="99"/>
    <w:pPr>
      <w:widowControl/>
      <w:spacing w:before="480" w:line="276" w:lineRule="auto"/>
      <w:jc w:val="left"/>
      <w:outlineLvl w:val="9"/>
    </w:pPr>
    <w:rPr>
      <w:rFonts w:ascii="Cambria" w:hAnsi="Cambria"/>
      <w:color w:val="365F91"/>
      <w:kern w:val="0"/>
      <w:sz w:val="28"/>
      <w:szCs w:val="28"/>
    </w:rPr>
  </w:style>
  <w:style w:type="paragraph" w:customStyle="1" w:styleId="23">
    <w:name w:val="列出段落1"/>
    <w:basedOn w:val="1"/>
    <w:qFormat/>
    <w:uiPriority w:val="0"/>
    <w:pPr>
      <w:ind w:firstLine="420" w:firstLineChars="200"/>
    </w:pPr>
  </w:style>
  <w:style w:type="paragraph" w:customStyle="1" w:styleId="24">
    <w:name w:val="p19"/>
    <w:basedOn w:val="1"/>
    <w:qFormat/>
    <w:uiPriority w:val="0"/>
    <w:pPr>
      <w:widowControl/>
      <w:ind w:left="15" w:firstLine="420"/>
      <w:jc w:val="left"/>
    </w:pPr>
    <w:rPr>
      <w:rFonts w:ascii="Times New Roman"/>
      <w:sz w:val="21"/>
      <w:szCs w:val="21"/>
    </w:rPr>
  </w:style>
  <w:style w:type="paragraph" w:customStyle="1" w:styleId="25">
    <w:name w:val="正文11"/>
    <w:basedOn w:val="1"/>
    <w:qFormat/>
    <w:uiPriority w:val="99"/>
    <w:pPr>
      <w:widowControl/>
      <w:tabs>
        <w:tab w:val="left" w:pos="851"/>
      </w:tabs>
      <w:spacing w:line="360" w:lineRule="auto"/>
      <w:ind w:firstLine="315"/>
    </w:pPr>
    <w:rPr>
      <w:sz w:val="24"/>
    </w:rPr>
  </w:style>
  <w:style w:type="paragraph" w:customStyle="1" w:styleId="26">
    <w:name w:val="样式 宋体 行距: 固定值 18 磅"/>
    <w:basedOn w:val="1"/>
    <w:qFormat/>
    <w:uiPriority w:val="99"/>
    <w:pPr>
      <w:spacing w:beforeLines="30" w:line="360" w:lineRule="exact"/>
    </w:pPr>
    <w:rPr>
      <w:rFonts w:hAnsi="宋体"/>
      <w:kern w:val="2"/>
      <w:sz w:val="21"/>
    </w:rPr>
  </w:style>
  <w:style w:type="character" w:customStyle="1" w:styleId="27">
    <w:name w:val="未处理的提及1"/>
    <w:basedOn w:val="18"/>
    <w:qFormat/>
    <w:uiPriority w:val="0"/>
    <w:rPr>
      <w:color w:val="605E5C"/>
      <w:shd w:val="clear" w:color="auto" w:fill="E1DFDD"/>
    </w:rPr>
  </w:style>
  <w:style w:type="paragraph" w:customStyle="1" w:styleId="28">
    <w:name w:val="列表段落1"/>
    <w:basedOn w:val="1"/>
    <w:qFormat/>
    <w:uiPriority w:val="34"/>
    <w:pPr>
      <w:widowControl/>
      <w:ind w:firstLine="420" w:firstLineChars="200"/>
      <w:jc w:val="left"/>
    </w:pPr>
    <w:rPr>
      <w:rFonts w:hAnsi="宋体" w:cs="宋体"/>
      <w:sz w:val="24"/>
      <w:szCs w:val="24"/>
    </w:rPr>
  </w:style>
  <w:style w:type="character" w:customStyle="1" w:styleId="29">
    <w:name w:val="批注框文本 字符"/>
    <w:basedOn w:val="18"/>
    <w:link w:val="9"/>
    <w:qFormat/>
    <w:uiPriority w:val="0"/>
    <w:rPr>
      <w:rFonts w:ascii="宋体"/>
      <w:sz w:val="18"/>
      <w:szCs w:val="18"/>
    </w:rPr>
  </w:style>
  <w:style w:type="character" w:customStyle="1" w:styleId="30">
    <w:name w:val="未处理的提及2"/>
    <w:basedOn w:val="18"/>
    <w:unhideWhenUsed/>
    <w:qFormat/>
    <w:uiPriority w:val="99"/>
    <w:rPr>
      <w:color w:val="605E5C"/>
      <w:shd w:val="clear" w:color="auto" w:fill="E1DFDD"/>
    </w:rPr>
  </w:style>
  <w:style w:type="character" w:customStyle="1" w:styleId="31">
    <w:name w:val="批注文字 字符"/>
    <w:basedOn w:val="18"/>
    <w:link w:val="7"/>
    <w:qFormat/>
    <w:uiPriority w:val="99"/>
    <w:rPr>
      <w:kern w:val="2"/>
      <w:sz w:val="24"/>
    </w:rPr>
  </w:style>
  <w:style w:type="character" w:customStyle="1" w:styleId="32">
    <w:name w:val="批注主题 字符"/>
    <w:basedOn w:val="31"/>
    <w:link w:val="14"/>
    <w:qFormat/>
    <w:uiPriority w:val="0"/>
    <w:rPr>
      <w:rFonts w:ascii="宋体"/>
      <w:b/>
      <w:bCs/>
      <w:kern w:val="2"/>
      <w:sz w:val="34"/>
    </w:rPr>
  </w:style>
  <w:style w:type="character" w:customStyle="1" w:styleId="33">
    <w:name w:val="页眉 字符"/>
    <w:basedOn w:val="18"/>
    <w:link w:val="11"/>
    <w:qFormat/>
    <w:uiPriority w:val="0"/>
    <w:rPr>
      <w:rFonts w:ascii="宋体"/>
      <w:sz w:val="18"/>
      <w:szCs w:val="18"/>
    </w:rPr>
  </w:style>
  <w:style w:type="paragraph" w:customStyle="1" w:styleId="34">
    <w:name w:val="修订1"/>
    <w:hidden/>
    <w:semiHidden/>
    <w:qFormat/>
    <w:uiPriority w:val="99"/>
    <w:rPr>
      <w:rFonts w:ascii="宋体" w:hAnsi="Times New Roman" w:eastAsia="宋体" w:cs="Times New Roman"/>
      <w:sz w:val="34"/>
      <w:lang w:val="en-US" w:eastAsia="zh-CN" w:bidi="ar-SA"/>
    </w:rPr>
  </w:style>
  <w:style w:type="paragraph" w:customStyle="1" w:styleId="35">
    <w:name w:val="修订2"/>
    <w:hidden/>
    <w:semiHidden/>
    <w:qFormat/>
    <w:uiPriority w:val="99"/>
    <w:rPr>
      <w:rFonts w:ascii="宋体" w:hAnsi="Times New Roman" w:eastAsia="宋体" w:cs="Times New Roman"/>
      <w:sz w:val="34"/>
      <w:lang w:val="en-US" w:eastAsia="zh-CN" w:bidi="ar-SA"/>
    </w:rPr>
  </w:style>
  <w:style w:type="paragraph" w:customStyle="1" w:styleId="36">
    <w:name w:val="zhang"/>
    <w:basedOn w:val="1"/>
    <w:qFormat/>
    <w:uiPriority w:val="0"/>
    <w:pPr>
      <w:spacing w:before="100" w:beforeAutospacing="1" w:after="100" w:afterAutospacing="1"/>
    </w:pPr>
    <w:rPr>
      <w:b/>
      <w:bCs/>
      <w:smallCaps/>
      <w:color w:val="000000"/>
      <w:sz w:val="20"/>
    </w:rPr>
  </w:style>
  <w:style w:type="paragraph" w:customStyle="1" w:styleId="37">
    <w:name w:val="List Paragraph"/>
    <w:basedOn w:val="1"/>
    <w:qFormat/>
    <w:uiPriority w:val="99"/>
    <w:pPr>
      <w:ind w:firstLine="420" w:firstLineChars="200"/>
    </w:pPr>
  </w:style>
  <w:style w:type="paragraph" w:customStyle="1" w:styleId="38">
    <w:name w:val="修订3"/>
    <w:hidden/>
    <w:semiHidden/>
    <w:qFormat/>
    <w:uiPriority w:val="99"/>
    <w:rPr>
      <w:rFonts w:ascii="宋体" w:hAnsi="Times New Roman" w:eastAsia="宋体" w:cs="Times New Roman"/>
      <w:sz w:val="34"/>
      <w:lang w:val="en-US" w:eastAsia="zh-CN" w:bidi="ar-SA"/>
    </w:rPr>
  </w:style>
  <w:style w:type="paragraph" w:customStyle="1" w:styleId="39">
    <w:name w:val="Revision"/>
    <w:hidden/>
    <w:unhideWhenUsed/>
    <w:qFormat/>
    <w:uiPriority w:val="99"/>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51</Pages>
  <Words>2877</Words>
  <Characters>16404</Characters>
  <Lines>136</Lines>
  <Paragraphs>38</Paragraphs>
  <TotalTime>268</TotalTime>
  <ScaleCrop>false</ScaleCrop>
  <LinksUpToDate>false</LinksUpToDate>
  <CharactersWithSpaces>19243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2023-04-15T00:47:00Z</dcterms:created>
  <dc:creator>fjx</dc:creator>
  <cp:lastModifiedBy>阳勇</cp:lastModifiedBy>
  <cp:lastPrinted>2024-03-29T04:28:05Z</cp:lastPrinted>
  <dcterms:modified xsi:type="dcterms:W3CDTF">2024-03-29T06:29:55Z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916DE1B599F5B92EBC71D46586ED7F81_43</vt:lpwstr>
  </property>
</Properties>
</file>