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780"/>
        </w:tabs>
        <w:snapToGrid w:val="0"/>
        <w:spacing w:before="216" w:after="24" w:line="360" w:lineRule="auto"/>
        <w:jc w:val="both"/>
        <w:rPr>
          <w:rFonts w:hint="eastAsia" w:ascii="黑体" w:hAnsi="黑体" w:eastAsia="黑体" w:cs="黑体"/>
          <w:b w:val="0"/>
          <w:bCs w:val="0"/>
          <w:color w:val="auto"/>
          <w:kern w:val="2"/>
          <w:sz w:val="32"/>
          <w:szCs w:val="32"/>
          <w:highlight w:val="none"/>
          <w:lang w:val="en-US" w:eastAsia="zh-CN" w:bidi="ar-SA"/>
        </w:rPr>
      </w:pPr>
      <w:bookmarkStart w:id="515" w:name="_GoBack"/>
      <w:bookmarkEnd w:id="515"/>
    </w:p>
    <w:p>
      <w:pPr>
        <w:widowControl/>
        <w:tabs>
          <w:tab w:val="left" w:pos="3780"/>
        </w:tabs>
        <w:snapToGrid w:val="0"/>
        <w:spacing w:before="216" w:after="24" w:line="360" w:lineRule="auto"/>
        <w:jc w:val="center"/>
        <w:rPr>
          <w:rFonts w:ascii="仿宋_GB2312" w:hAnsi="黑体" w:eastAsia="仿宋_GB2312" w:cs="宋体"/>
          <w:b/>
          <w:color w:val="auto"/>
          <w:kern w:val="0"/>
          <w:sz w:val="44"/>
          <w:szCs w:val="44"/>
          <w:highlight w:val="none"/>
        </w:rPr>
      </w:pPr>
      <w:r>
        <w:rPr>
          <w:rFonts w:hint="eastAsia" w:ascii="仿宋_GB2312" w:hAnsi="黑体" w:eastAsia="仿宋_GB2312" w:cs="宋体"/>
          <w:b/>
          <w:color w:val="auto"/>
          <w:kern w:val="0"/>
          <w:sz w:val="44"/>
          <w:szCs w:val="44"/>
          <w:highlight w:val="none"/>
          <w:lang w:val="en-US" w:eastAsia="zh-CN"/>
        </w:rPr>
        <w:t>蜀道物流（香港）</w:t>
      </w:r>
      <w:r>
        <w:rPr>
          <w:rFonts w:hint="eastAsia" w:ascii="仿宋_GB2312" w:hAnsi="黑体" w:eastAsia="仿宋_GB2312" w:cs="宋体"/>
          <w:b/>
          <w:color w:val="auto"/>
          <w:kern w:val="0"/>
          <w:sz w:val="44"/>
          <w:szCs w:val="44"/>
          <w:highlight w:val="none"/>
        </w:rPr>
        <w:t>有限公司</w:t>
      </w:r>
    </w:p>
    <w:p>
      <w:pPr>
        <w:widowControl/>
        <w:tabs>
          <w:tab w:val="left" w:pos="3780"/>
        </w:tabs>
        <w:snapToGrid w:val="0"/>
        <w:spacing w:before="216" w:after="24" w:line="360" w:lineRule="auto"/>
        <w:jc w:val="center"/>
        <w:rPr>
          <w:rFonts w:ascii="仿宋_GB2312" w:hAnsi="黑体" w:eastAsia="仿宋_GB2312" w:cs="宋体"/>
          <w:b/>
          <w:color w:val="auto"/>
          <w:kern w:val="0"/>
          <w:sz w:val="44"/>
          <w:szCs w:val="44"/>
          <w:highlight w:val="none"/>
        </w:rPr>
      </w:pPr>
      <w:r>
        <w:rPr>
          <w:rFonts w:hint="eastAsia" w:ascii="仿宋_GB2312" w:hAnsi="黑体" w:eastAsia="仿宋_GB2312" w:cs="宋体"/>
          <w:b/>
          <w:color w:val="auto"/>
          <w:kern w:val="0"/>
          <w:sz w:val="44"/>
          <w:szCs w:val="44"/>
          <w:highlight w:val="none"/>
          <w:lang w:eastAsia="zh-CN"/>
        </w:rPr>
        <w:t>202</w:t>
      </w:r>
      <w:r>
        <w:rPr>
          <w:rFonts w:hint="eastAsia" w:ascii="仿宋_GB2312" w:hAnsi="黑体" w:eastAsia="仿宋_GB2312" w:cs="宋体"/>
          <w:b/>
          <w:color w:val="auto"/>
          <w:kern w:val="0"/>
          <w:sz w:val="44"/>
          <w:szCs w:val="44"/>
          <w:highlight w:val="none"/>
          <w:lang w:val="en-US" w:eastAsia="zh-CN"/>
        </w:rPr>
        <w:t>4</w:t>
      </w:r>
      <w:r>
        <w:rPr>
          <w:rFonts w:hint="eastAsia" w:ascii="仿宋_GB2312" w:hAnsi="黑体" w:eastAsia="仿宋_GB2312" w:cs="宋体"/>
          <w:b/>
          <w:color w:val="auto"/>
          <w:kern w:val="0"/>
          <w:sz w:val="44"/>
          <w:szCs w:val="44"/>
          <w:highlight w:val="none"/>
          <w:lang w:eastAsia="zh-CN"/>
        </w:rPr>
        <w:t>年度常年法律</w:t>
      </w:r>
      <w:r>
        <w:rPr>
          <w:rFonts w:hint="eastAsia" w:ascii="仿宋_GB2312" w:hAnsi="黑体" w:eastAsia="仿宋_GB2312" w:cs="宋体"/>
          <w:b/>
          <w:color w:val="auto"/>
          <w:kern w:val="0"/>
          <w:sz w:val="44"/>
          <w:szCs w:val="44"/>
          <w:highlight w:val="none"/>
        </w:rPr>
        <w:t>顾问服务单位选聘项目</w:t>
      </w:r>
    </w:p>
    <w:p>
      <w:pPr>
        <w:spacing w:before="312" w:beforeLines="100" w:line="460" w:lineRule="exact"/>
        <w:jc w:val="center"/>
        <w:rPr>
          <w:rFonts w:ascii="仿宋_GB2312" w:hAnsi="仿宋_GB2312" w:eastAsia="仿宋_GB2312" w:cs="仿宋_GB2312"/>
          <w:color w:val="auto"/>
          <w:spacing w:val="40"/>
          <w:sz w:val="24"/>
          <w:highlight w:val="none"/>
        </w:rPr>
      </w:pPr>
    </w:p>
    <w:p>
      <w:pPr>
        <w:spacing w:before="312" w:beforeLines="100" w:line="460" w:lineRule="exact"/>
        <w:jc w:val="center"/>
        <w:rPr>
          <w:rFonts w:hint="eastAsia" w:ascii="仿宋_GB2312" w:hAnsi="仿宋_GB2312" w:eastAsia="仿宋_GB2312" w:cs="仿宋_GB2312"/>
          <w:b/>
          <w:bCs/>
          <w:color w:val="auto"/>
          <w:spacing w:val="40"/>
          <w:sz w:val="44"/>
          <w:szCs w:val="44"/>
          <w:highlight w:val="none"/>
          <w:lang w:val="en-US" w:eastAsia="zh-CN"/>
        </w:rPr>
      </w:pPr>
      <w:r>
        <w:rPr>
          <w:rFonts w:hint="eastAsia" w:ascii="仿宋_GB2312" w:hAnsi="仿宋_GB2312" w:eastAsia="仿宋_GB2312" w:cs="仿宋_GB2312"/>
          <w:b/>
          <w:bCs/>
          <w:color w:val="auto"/>
          <w:spacing w:val="40"/>
          <w:sz w:val="44"/>
          <w:szCs w:val="44"/>
          <w:highlight w:val="none"/>
          <w:lang w:val="en-US" w:eastAsia="zh-CN"/>
        </w:rPr>
        <w:t>比</w:t>
      </w:r>
    </w:p>
    <w:p>
      <w:pPr>
        <w:spacing w:before="312" w:beforeLines="100" w:line="460" w:lineRule="exact"/>
        <w:jc w:val="center"/>
        <w:rPr>
          <w:rFonts w:hint="eastAsia" w:ascii="仿宋_GB2312" w:hAnsi="仿宋_GB2312" w:eastAsia="仿宋_GB2312" w:cs="仿宋_GB2312"/>
          <w:b/>
          <w:bCs/>
          <w:color w:val="auto"/>
          <w:spacing w:val="40"/>
          <w:sz w:val="44"/>
          <w:szCs w:val="44"/>
          <w:highlight w:val="none"/>
          <w:lang w:val="en-US" w:eastAsia="zh-CN"/>
        </w:rPr>
      </w:pPr>
      <w:r>
        <w:rPr>
          <w:rFonts w:hint="eastAsia" w:ascii="仿宋_GB2312" w:hAnsi="仿宋_GB2312" w:eastAsia="仿宋_GB2312" w:cs="仿宋_GB2312"/>
          <w:b/>
          <w:bCs/>
          <w:color w:val="auto"/>
          <w:spacing w:val="40"/>
          <w:sz w:val="44"/>
          <w:szCs w:val="44"/>
          <w:highlight w:val="none"/>
          <w:lang w:val="en-US" w:eastAsia="zh-CN"/>
        </w:rPr>
        <w:t>选</w:t>
      </w:r>
    </w:p>
    <w:p>
      <w:pPr>
        <w:spacing w:before="312" w:beforeLines="100" w:line="460" w:lineRule="exact"/>
        <w:jc w:val="center"/>
        <w:rPr>
          <w:rFonts w:ascii="仿宋_GB2312" w:hAnsi="仿宋_GB2312" w:eastAsia="仿宋_GB2312" w:cs="仿宋_GB2312"/>
          <w:b/>
          <w:bCs/>
          <w:color w:val="auto"/>
          <w:spacing w:val="40"/>
          <w:sz w:val="44"/>
          <w:szCs w:val="44"/>
          <w:highlight w:val="none"/>
        </w:rPr>
      </w:pPr>
      <w:r>
        <w:rPr>
          <w:rFonts w:hint="eastAsia" w:ascii="仿宋_GB2312" w:hAnsi="仿宋_GB2312" w:eastAsia="仿宋_GB2312" w:cs="仿宋_GB2312"/>
          <w:b/>
          <w:bCs/>
          <w:color w:val="auto"/>
          <w:spacing w:val="40"/>
          <w:sz w:val="44"/>
          <w:szCs w:val="44"/>
          <w:highlight w:val="none"/>
        </w:rPr>
        <w:t>文</w:t>
      </w:r>
    </w:p>
    <w:p>
      <w:pPr>
        <w:spacing w:before="312" w:beforeLines="100" w:line="460" w:lineRule="exact"/>
        <w:jc w:val="center"/>
        <w:rPr>
          <w:rFonts w:ascii="仿宋_GB2312" w:hAnsi="仿宋_GB2312" w:eastAsia="仿宋_GB2312" w:cs="仿宋_GB2312"/>
          <w:color w:val="auto"/>
          <w:spacing w:val="40"/>
          <w:sz w:val="44"/>
          <w:szCs w:val="44"/>
          <w:highlight w:val="none"/>
        </w:rPr>
      </w:pPr>
      <w:r>
        <w:rPr>
          <w:rFonts w:hint="eastAsia" w:ascii="仿宋_GB2312" w:hAnsi="仿宋_GB2312" w:eastAsia="仿宋_GB2312" w:cs="仿宋_GB2312"/>
          <w:b/>
          <w:bCs/>
          <w:color w:val="auto"/>
          <w:spacing w:val="40"/>
          <w:sz w:val="44"/>
          <w:szCs w:val="44"/>
          <w:highlight w:val="none"/>
        </w:rPr>
        <w:t>件</w:t>
      </w:r>
    </w:p>
    <w:p>
      <w:pPr>
        <w:spacing w:before="312" w:beforeLines="100" w:line="460" w:lineRule="exact"/>
        <w:jc w:val="center"/>
        <w:rPr>
          <w:rFonts w:ascii="仿宋_GB2312" w:hAnsi="仿宋_GB2312" w:eastAsia="仿宋_GB2312" w:cs="仿宋_GB2312"/>
          <w:color w:val="auto"/>
          <w:spacing w:val="40"/>
          <w:sz w:val="44"/>
          <w:szCs w:val="44"/>
          <w:highlight w:val="none"/>
        </w:rPr>
      </w:pPr>
    </w:p>
    <w:p>
      <w:pPr>
        <w:spacing w:before="312" w:beforeLines="100" w:line="460" w:lineRule="exact"/>
        <w:jc w:val="center"/>
        <w:rPr>
          <w:rFonts w:ascii="仿宋_GB2312" w:hAnsi="仿宋_GB2312" w:eastAsia="仿宋_GB2312" w:cs="仿宋_GB2312"/>
          <w:color w:val="auto"/>
          <w:spacing w:val="40"/>
          <w:sz w:val="44"/>
          <w:szCs w:val="44"/>
          <w:highlight w:val="none"/>
        </w:rPr>
      </w:pPr>
    </w:p>
    <w:p>
      <w:pPr>
        <w:spacing w:before="312" w:beforeLines="100" w:line="460" w:lineRule="exact"/>
        <w:rPr>
          <w:rFonts w:ascii="仿宋_GB2312" w:hAnsi="仿宋_GB2312" w:eastAsia="仿宋_GB2312" w:cs="仿宋_GB2312"/>
          <w:color w:val="auto"/>
          <w:spacing w:val="40"/>
          <w:sz w:val="32"/>
          <w:szCs w:val="32"/>
          <w:highlight w:val="none"/>
        </w:rPr>
      </w:pPr>
    </w:p>
    <w:p>
      <w:pPr>
        <w:spacing w:before="312" w:beforeLines="100"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比选人：</w:t>
      </w:r>
      <w:r>
        <w:rPr>
          <w:rFonts w:hint="eastAsia" w:ascii="仿宋_GB2312" w:hAnsi="仿宋_GB2312" w:eastAsia="仿宋_GB2312" w:cs="仿宋_GB2312"/>
          <w:b/>
          <w:color w:val="auto"/>
          <w:sz w:val="36"/>
          <w:szCs w:val="36"/>
          <w:highlight w:val="none"/>
          <w:lang w:val="en-US" w:eastAsia="zh-CN"/>
        </w:rPr>
        <w:t>蜀道物流（香港）</w:t>
      </w:r>
      <w:r>
        <w:rPr>
          <w:rFonts w:hint="eastAsia" w:ascii="仿宋_GB2312" w:hAnsi="仿宋_GB2312" w:eastAsia="仿宋_GB2312" w:cs="仿宋_GB2312"/>
          <w:b/>
          <w:color w:val="auto"/>
          <w:sz w:val="36"/>
          <w:szCs w:val="36"/>
          <w:highlight w:val="none"/>
        </w:rPr>
        <w:t>有限公司</w:t>
      </w:r>
    </w:p>
    <w:p>
      <w:pPr>
        <w:spacing w:before="312" w:beforeLines="100" w:line="460" w:lineRule="exact"/>
        <w:jc w:val="center"/>
        <w:rPr>
          <w:rFonts w:ascii="仿宋_GB2312" w:hAnsi="仿宋_GB2312" w:eastAsia="仿宋_GB2312" w:cs="仿宋_GB2312"/>
          <w:b/>
          <w:color w:val="auto"/>
          <w:spacing w:val="40"/>
          <w:sz w:val="32"/>
          <w:szCs w:val="32"/>
          <w:highlight w:val="none"/>
        </w:rPr>
        <w:sectPr>
          <w:footerReference r:id="rId3" w:type="default"/>
          <w:pgSz w:w="11906" w:h="16838"/>
          <w:pgMar w:top="1134" w:right="1134" w:bottom="1134" w:left="1418" w:header="851" w:footer="992" w:gutter="0"/>
          <w:pgNumType w:fmt="decimal" w:start="1"/>
          <w:cols w:space="720" w:num="1"/>
          <w:docGrid w:type="lines" w:linePitch="312" w:charSpace="0"/>
        </w:sectPr>
      </w:pPr>
      <w:r>
        <w:rPr>
          <w:rFonts w:hint="eastAsia" w:ascii="仿宋_GB2312" w:hAnsi="仿宋_GB2312" w:eastAsia="仿宋_GB2312" w:cs="仿宋_GB2312"/>
          <w:b/>
          <w:color w:val="auto"/>
          <w:sz w:val="36"/>
          <w:szCs w:val="36"/>
          <w:highlight w:val="none"/>
        </w:rPr>
        <w:t>二〇二</w:t>
      </w:r>
      <w:r>
        <w:rPr>
          <w:rFonts w:hint="eastAsia" w:ascii="仿宋_GB2312" w:hAnsi="仿宋_GB2312" w:eastAsia="仿宋_GB2312" w:cs="仿宋_GB2312"/>
          <w:b/>
          <w:color w:val="auto"/>
          <w:sz w:val="36"/>
          <w:szCs w:val="36"/>
          <w:highlight w:val="none"/>
          <w:lang w:val="en-US" w:eastAsia="zh-CN"/>
        </w:rPr>
        <w:t>四</w:t>
      </w:r>
      <w:r>
        <w:rPr>
          <w:rFonts w:hint="eastAsia" w:ascii="仿宋_GB2312" w:hAnsi="仿宋_GB2312" w:eastAsia="仿宋_GB2312" w:cs="仿宋_GB2312"/>
          <w:b/>
          <w:color w:val="auto"/>
          <w:sz w:val="36"/>
          <w:szCs w:val="36"/>
          <w:highlight w:val="none"/>
        </w:rPr>
        <w:t>年</w:t>
      </w:r>
      <w:r>
        <w:rPr>
          <w:rFonts w:hint="eastAsia" w:ascii="仿宋_GB2312" w:hAnsi="仿宋_GB2312" w:eastAsia="仿宋_GB2312" w:cs="仿宋_GB2312"/>
          <w:b/>
          <w:color w:val="auto"/>
          <w:sz w:val="36"/>
          <w:szCs w:val="36"/>
          <w:highlight w:val="none"/>
          <w:lang w:val="en-US" w:eastAsia="zh-CN"/>
        </w:rPr>
        <w:t>一</w:t>
      </w:r>
      <w:r>
        <w:rPr>
          <w:rFonts w:hint="eastAsia" w:ascii="仿宋_GB2312" w:hAnsi="仿宋_GB2312" w:eastAsia="仿宋_GB2312" w:cs="仿宋_GB2312"/>
          <w:b/>
          <w:color w:val="auto"/>
          <w:sz w:val="36"/>
          <w:szCs w:val="36"/>
          <w:highlight w:val="none"/>
        </w:rPr>
        <w:t>月</w:t>
      </w:r>
    </w:p>
    <w:p>
      <w:pPr>
        <w:jc w:val="center"/>
        <w:rPr>
          <w:rFonts w:ascii="仿宋" w:hAnsi="仿宋" w:eastAsia="仿宋" w:cs="仿宋"/>
          <w:b/>
          <w:bCs/>
          <w:color w:val="auto"/>
          <w:sz w:val="36"/>
          <w:szCs w:val="36"/>
          <w:highlight w:val="none"/>
        </w:rPr>
      </w:pPr>
      <w:bookmarkStart w:id="0" w:name="_Toc4830"/>
      <w:bookmarkStart w:id="1" w:name="_Toc9903"/>
      <w:bookmarkStart w:id="2" w:name="_Toc16098"/>
      <w:bookmarkStart w:id="3" w:name="_Toc12242"/>
      <w:bookmarkStart w:id="4" w:name="_Toc23663"/>
      <w:bookmarkStart w:id="5" w:name="_Toc23535"/>
      <w:bookmarkStart w:id="6" w:name="_Toc663"/>
      <w:bookmarkStart w:id="7" w:name="_Toc17499"/>
      <w:r>
        <w:rPr>
          <w:rFonts w:hint="eastAsia" w:ascii="仿宋" w:hAnsi="仿宋" w:eastAsia="仿宋" w:cs="仿宋"/>
          <w:b/>
          <w:bCs/>
          <w:color w:val="auto"/>
          <w:sz w:val="36"/>
          <w:szCs w:val="36"/>
          <w:highlight w:val="none"/>
        </w:rPr>
        <w:t>目  录</w:t>
      </w:r>
    </w:p>
    <w:p>
      <w:pPr>
        <w:rPr>
          <w:rFonts w:ascii="仿宋" w:hAnsi="仿宋" w:eastAsia="仿宋" w:cs="仿宋"/>
          <w:b/>
          <w:bCs/>
          <w:color w:val="auto"/>
          <w:sz w:val="32"/>
          <w:szCs w:val="32"/>
          <w:highlight w:val="none"/>
        </w:rPr>
      </w:pP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"_Toc2468"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第一章 比选公告</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"_Toc8513"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第二章 比选申请人须知</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"_Toc19085"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第三章 比选申请人的资格要求证明材料</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8</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"_Toc302"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第四章 比选申请书格式</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9</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"_Toc31984"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第五章 项目需求及服务、团队等相关要求</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25</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"_Toc17709"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第六章 评审方法</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28</w:t>
      </w:r>
      <w:r>
        <w:rPr>
          <w:rFonts w:hint="eastAsia" w:ascii="仿宋" w:hAnsi="仿宋" w:eastAsia="仿宋" w:cs="仿宋"/>
          <w:b/>
          <w:bCs/>
          <w:color w:val="auto"/>
          <w:sz w:val="32"/>
          <w:szCs w:val="32"/>
          <w:highlight w:val="none"/>
          <w:lang w:val="en-US" w:eastAsia="zh-CN" w:bidi="ar-SA"/>
        </w:rPr>
        <w:fldChar w:fldCharType="end"/>
      </w:r>
    </w:p>
    <w:p>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"_Toc10904"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第七章 主要合同条款（草案）</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30</w:t>
      </w:r>
      <w:r>
        <w:rPr>
          <w:rFonts w:hint="eastAsia" w:ascii="仿宋" w:hAnsi="仿宋" w:eastAsia="仿宋" w:cs="仿宋"/>
          <w:b/>
          <w:bCs/>
          <w:color w:val="auto"/>
          <w:sz w:val="32"/>
          <w:szCs w:val="32"/>
          <w:highlight w:val="none"/>
          <w:lang w:val="en-US" w:eastAsia="zh-CN" w:bidi="ar-SA"/>
        </w:rPr>
        <w:fldChar w:fldCharType="end"/>
      </w:r>
    </w:p>
    <w:p>
      <w:pPr>
        <w:jc w:val="center"/>
        <w:rPr>
          <w:rFonts w:ascii="仿宋_GB2312" w:hAnsi="仿宋_GB2312" w:eastAsia="仿宋_GB2312" w:cs="仿宋_GB2312"/>
          <w:b/>
          <w:bCs/>
          <w:color w:val="auto"/>
          <w:sz w:val="36"/>
          <w:szCs w:val="36"/>
          <w:highlight w:val="none"/>
        </w:rPr>
      </w:pPr>
    </w:p>
    <w:p>
      <w:pPr>
        <w:rPr>
          <w:rFonts w:ascii="仿宋_GB2312" w:hAnsi="仿宋_GB2312" w:eastAsia="仿宋_GB2312" w:cs="仿宋_GB2312"/>
          <w:b/>
          <w:bCs/>
          <w:color w:val="auto"/>
          <w:sz w:val="32"/>
          <w:szCs w:val="32"/>
          <w:highlight w:val="none"/>
        </w:rPr>
      </w:pPr>
    </w:p>
    <w:p>
      <w:pPr>
        <w:keepNext/>
        <w:keepLines/>
        <w:widowControl w:val="0"/>
        <w:spacing w:before="340" w:after="330" w:line="460" w:lineRule="exact"/>
        <w:jc w:val="center"/>
        <w:outlineLvl w:val="0"/>
        <w:rPr>
          <w:rFonts w:ascii="仿宋_GB2312" w:hAnsi="仿宋_GB2312" w:eastAsia="仿宋_GB2312" w:cs="仿宋_GB2312"/>
          <w:b/>
          <w:bCs/>
          <w:color w:val="auto"/>
          <w:kern w:val="44"/>
          <w:sz w:val="24"/>
          <w:szCs w:val="24"/>
          <w:highlight w:val="none"/>
          <w:lang w:val="en-US" w:eastAsia="zh-CN" w:bidi="ar-SA"/>
        </w:rPr>
      </w:pPr>
    </w:p>
    <w:p>
      <w:pPr>
        <w:spacing w:line="460" w:lineRule="exact"/>
        <w:rPr>
          <w:rFonts w:ascii="仿宋_GB2312" w:hAnsi="仿宋_GB2312" w:eastAsia="仿宋_GB2312" w:cs="仿宋_GB2312"/>
          <w:color w:val="auto"/>
          <w:sz w:val="24"/>
          <w:highlight w:val="none"/>
        </w:rPr>
      </w:pPr>
    </w:p>
    <w:p>
      <w:pPr>
        <w:keepNext/>
        <w:keepLines/>
        <w:widowControl w:val="0"/>
        <w:spacing w:before="340" w:after="330" w:line="460" w:lineRule="exact"/>
        <w:jc w:val="both"/>
        <w:outlineLvl w:val="0"/>
        <w:rPr>
          <w:rFonts w:ascii="仿宋_GB2312" w:hAnsi="仿宋_GB2312" w:eastAsia="仿宋_GB2312" w:cs="仿宋_GB2312"/>
          <w:b/>
          <w:bCs/>
          <w:color w:val="auto"/>
          <w:kern w:val="44"/>
          <w:sz w:val="24"/>
          <w:szCs w:val="24"/>
          <w:highlight w:val="none"/>
          <w:lang w:val="en-US" w:eastAsia="zh-CN" w:bidi="ar-SA"/>
        </w:rPr>
      </w:pPr>
    </w:p>
    <w:p>
      <w:pPr>
        <w:spacing w:line="460" w:lineRule="exact"/>
        <w:rPr>
          <w:rFonts w:ascii="仿宋_GB2312" w:hAnsi="仿宋_GB2312" w:eastAsia="仿宋_GB2312" w:cs="仿宋_GB2312"/>
          <w:color w:val="auto"/>
          <w:sz w:val="24"/>
          <w:highlight w:val="none"/>
        </w:rPr>
      </w:pPr>
    </w:p>
    <w:p>
      <w:pPr>
        <w:spacing w:line="460" w:lineRule="exact"/>
        <w:rPr>
          <w:rFonts w:ascii="仿宋_GB2312" w:hAnsi="仿宋_GB2312" w:eastAsia="仿宋_GB2312" w:cs="仿宋_GB2312"/>
          <w:color w:val="auto"/>
          <w:sz w:val="24"/>
          <w:highlight w:val="none"/>
        </w:rPr>
      </w:pPr>
    </w:p>
    <w:p>
      <w:pPr>
        <w:spacing w:line="460" w:lineRule="exact"/>
        <w:rPr>
          <w:rFonts w:ascii="仿宋_GB2312" w:hAnsi="仿宋_GB2312" w:eastAsia="仿宋_GB2312" w:cs="仿宋_GB2312"/>
          <w:color w:val="auto"/>
          <w:sz w:val="24"/>
          <w:highlight w:val="none"/>
        </w:rPr>
      </w:pPr>
    </w:p>
    <w:p>
      <w:pPr>
        <w:spacing w:line="460" w:lineRule="exact"/>
        <w:rPr>
          <w:rFonts w:ascii="仿宋_GB2312" w:hAnsi="仿宋_GB2312" w:eastAsia="仿宋_GB2312" w:cs="仿宋_GB2312"/>
          <w:color w:val="auto"/>
          <w:sz w:val="24"/>
          <w:highlight w:val="none"/>
        </w:rPr>
        <w:sectPr>
          <w:footerReference r:id="rId4" w:type="default"/>
          <w:pgSz w:w="11906" w:h="16838"/>
          <w:pgMar w:top="1134" w:right="1134" w:bottom="1134" w:left="1418" w:header="851" w:footer="992" w:gutter="0"/>
          <w:pgNumType w:fmt="decimal" w:start="1"/>
          <w:cols w:space="720" w:num="1"/>
          <w:docGrid w:type="lines" w:linePitch="312" w:charSpace="0"/>
        </w:sectPr>
      </w:pPr>
    </w:p>
    <w:p>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8" w:name="_Toc24957"/>
      <w:bookmarkStart w:id="9" w:name="_Toc25176"/>
      <w:bookmarkStart w:id="10" w:name="_Toc2468"/>
      <w:bookmarkStart w:id="11" w:name="_Toc31088"/>
      <w:r>
        <w:rPr>
          <w:rFonts w:hint="eastAsia" w:ascii="仿宋_GB2312" w:hAnsi="仿宋_GB2312" w:eastAsia="仿宋_GB2312" w:cs="仿宋_GB2312"/>
          <w:b/>
          <w:bCs/>
          <w:color w:val="auto"/>
          <w:kern w:val="44"/>
          <w:sz w:val="32"/>
          <w:szCs w:val="32"/>
          <w:highlight w:val="none"/>
          <w:lang w:val="en-US" w:eastAsia="zh-CN" w:bidi="ar-SA"/>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auto"/>
          <w:kern w:val="44"/>
          <w:sz w:val="32"/>
          <w:szCs w:val="32"/>
          <w:highlight w:val="none"/>
          <w:lang w:val="en-US" w:eastAsia="zh-CN" w:bidi="ar-SA"/>
        </w:rPr>
        <w:t>公告</w:t>
      </w:r>
    </w:p>
    <w:p>
      <w:pPr>
        <w:rPr>
          <w:rFonts w:ascii="仿宋_GB2312" w:hAnsi="仿宋_GB2312" w:eastAsia="仿宋_GB2312" w:cs="仿宋_GB2312"/>
          <w:color w:val="auto"/>
          <w:highlight w:val="none"/>
        </w:rPr>
      </w:pPr>
    </w:p>
    <w:p>
      <w:pPr>
        <w:widowControl w:val="0"/>
        <w:spacing w:after="156" w:afterLines="50" w:line="460" w:lineRule="exact"/>
        <w:ind w:firstLine="482" w:firstLineChars="200"/>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蜀道物流（香港）有限公司（以下简称：“招标人”“香港公司”或“公司”）</w:t>
      </w:r>
      <w:r>
        <w:rPr>
          <w:rFonts w:hint="eastAsia" w:ascii="仿宋_GB2312" w:hAnsi="仿宋_GB2312" w:eastAsia="仿宋_GB2312" w:cs="仿宋_GB2312"/>
          <w:color w:val="auto"/>
          <w:kern w:val="2"/>
          <w:sz w:val="24"/>
          <w:szCs w:val="24"/>
          <w:highlight w:val="none"/>
          <w:lang w:val="en-US" w:eastAsia="zh-CN" w:bidi="ar-SA"/>
        </w:rPr>
        <w:t xml:space="preserve">拟公开比选2024年度常年法律顾问服务单位参与公司审查、修订合同和法律咨询等工作。根据四川省国资委相关规定、蜀道投资集团法律事务管理暂行办法等有关规定，现将公开比选2024年度常年法律顾问服务单位有关事项公告如下： </w:t>
      </w:r>
    </w:p>
    <w:p>
      <w:pPr>
        <w:numPr>
          <w:ilvl w:val="0"/>
          <w:numId w:val="2"/>
        </w:numPr>
        <w:spacing w:line="460" w:lineRule="exact"/>
        <w:rPr>
          <w:rFonts w:ascii="仿宋_GB2312" w:hAnsi="仿宋_GB2312" w:eastAsia="仿宋_GB2312" w:cs="仿宋_GB2312"/>
          <w:b/>
          <w:bCs/>
          <w:color w:val="auto"/>
          <w:sz w:val="24"/>
          <w:highlight w:val="none"/>
        </w:rPr>
      </w:pPr>
      <w:bookmarkStart w:id="12" w:name="_Toc13534"/>
      <w:bookmarkStart w:id="13" w:name="_Toc22141"/>
      <w:bookmarkStart w:id="14" w:name="_Toc26286"/>
      <w:r>
        <w:rPr>
          <w:rFonts w:hint="eastAsia" w:ascii="仿宋_GB2312" w:hAnsi="仿宋_GB2312" w:eastAsia="仿宋_GB2312" w:cs="仿宋_GB2312"/>
          <w:b/>
          <w:bCs/>
          <w:color w:val="auto"/>
          <w:sz w:val="24"/>
          <w:highlight w:val="none"/>
        </w:rPr>
        <w:t>项目名称：</w:t>
      </w:r>
      <w:bookmarkEnd w:id="12"/>
      <w:bookmarkEnd w:id="13"/>
      <w:bookmarkEnd w:id="14"/>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蜀道物流（香港）</w:t>
      </w:r>
      <w:r>
        <w:rPr>
          <w:rFonts w:hint="eastAsia" w:ascii="仿宋_GB2312" w:hAnsi="仿宋_GB2312" w:eastAsia="仿宋_GB2312" w:cs="仿宋_GB2312"/>
          <w:color w:val="auto"/>
          <w:sz w:val="24"/>
          <w:highlight w:val="none"/>
        </w:rPr>
        <w:t>有限公司</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顾问服务单位选聘项目。</w:t>
      </w:r>
    </w:p>
    <w:p>
      <w:pPr>
        <w:numPr>
          <w:ilvl w:val="0"/>
          <w:numId w:val="2"/>
        </w:numPr>
        <w:spacing w:line="460" w:lineRule="exact"/>
        <w:rPr>
          <w:rFonts w:ascii="仿宋_GB2312" w:hAnsi="仿宋_GB2312" w:eastAsia="仿宋_GB2312" w:cs="仿宋_GB2312"/>
          <w:b/>
          <w:color w:val="auto"/>
          <w:sz w:val="24"/>
          <w:highlight w:val="none"/>
        </w:rPr>
      </w:pPr>
      <w:bookmarkStart w:id="15" w:name="_Toc25535"/>
      <w:bookmarkStart w:id="16" w:name="_Toc22566"/>
      <w:bookmarkStart w:id="17" w:name="_Toc31392"/>
      <w:r>
        <w:rPr>
          <w:rFonts w:hint="eastAsia" w:ascii="仿宋_GB2312" w:hAnsi="仿宋_GB2312" w:eastAsia="仿宋_GB2312" w:cs="仿宋_GB2312"/>
          <w:b/>
          <w:color w:val="auto"/>
          <w:sz w:val="24"/>
          <w:highlight w:val="none"/>
        </w:rPr>
        <w:t>资金来源：</w:t>
      </w:r>
      <w:bookmarkEnd w:id="15"/>
      <w:bookmarkEnd w:id="16"/>
      <w:bookmarkEnd w:id="17"/>
    </w:p>
    <w:p>
      <w:pPr>
        <w:spacing w:line="460" w:lineRule="exact"/>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自筹资金。</w:t>
      </w:r>
    </w:p>
    <w:p>
      <w:pPr>
        <w:spacing w:line="460" w:lineRule="exact"/>
        <w:rPr>
          <w:rFonts w:ascii="仿宋_GB2312" w:hAnsi="仿宋_GB2312" w:eastAsia="仿宋_GB2312" w:cs="仿宋_GB2312"/>
          <w:b/>
          <w:bCs/>
          <w:color w:val="auto"/>
          <w:sz w:val="24"/>
          <w:highlight w:val="none"/>
        </w:rPr>
      </w:pPr>
      <w:bookmarkStart w:id="18" w:name="_Toc30655"/>
      <w:bookmarkStart w:id="19" w:name="_Toc4797"/>
      <w:bookmarkStart w:id="20" w:name="_Toc6088"/>
      <w:r>
        <w:rPr>
          <w:rFonts w:hint="eastAsia" w:ascii="仿宋_GB2312" w:hAnsi="仿宋_GB2312" w:eastAsia="仿宋_GB2312" w:cs="仿宋_GB2312"/>
          <w:b/>
          <w:bCs/>
          <w:color w:val="auto"/>
          <w:sz w:val="24"/>
          <w:highlight w:val="none"/>
        </w:rPr>
        <w:t>三、比选项目简介：</w:t>
      </w:r>
      <w:bookmarkEnd w:id="18"/>
      <w:bookmarkEnd w:id="19"/>
      <w:bookmarkEnd w:id="20"/>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5"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3695"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65"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蜀道物流（香港）</w:t>
            </w:r>
            <w:r>
              <w:rPr>
                <w:rFonts w:hint="eastAsia" w:ascii="仿宋_GB2312" w:hAnsi="仿宋_GB2312" w:eastAsia="仿宋_GB2312" w:cs="仿宋_GB2312"/>
                <w:color w:val="auto"/>
                <w:sz w:val="24"/>
                <w:highlight w:val="none"/>
              </w:rPr>
              <w:t>有限公司</w:t>
            </w:r>
          </w:p>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顾问服务单位选聘项目</w:t>
            </w:r>
          </w:p>
        </w:tc>
        <w:tc>
          <w:tcPr>
            <w:tcW w:w="3695"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8万</w:t>
            </w:r>
            <w:r>
              <w:rPr>
                <w:rFonts w:hint="eastAsia" w:ascii="仿宋_GB2312" w:hAnsi="仿宋_GB2312" w:eastAsia="仿宋_GB2312" w:cs="仿宋_GB2312"/>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260" w:type="dxa"/>
            <w:gridSpan w:val="2"/>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具体内容详见本比选文件第五章。</w:t>
            </w:r>
          </w:p>
        </w:tc>
      </w:tr>
    </w:tbl>
    <w:p>
      <w:pPr>
        <w:numPr>
          <w:ilvl w:val="0"/>
          <w:numId w:val="2"/>
        </w:numPr>
        <w:spacing w:line="460" w:lineRule="exact"/>
        <w:rPr>
          <w:rFonts w:ascii="仿宋_GB2312" w:hAnsi="仿宋_GB2312" w:eastAsia="仿宋_GB2312" w:cs="仿宋_GB2312"/>
          <w:b/>
          <w:bCs/>
          <w:color w:val="auto"/>
          <w:sz w:val="24"/>
          <w:highlight w:val="none"/>
        </w:rPr>
      </w:pPr>
      <w:bookmarkStart w:id="21" w:name="_Toc28898"/>
      <w:bookmarkStart w:id="22" w:name="_Toc8827"/>
      <w:bookmarkStart w:id="23" w:name="_Toc9252"/>
      <w:r>
        <w:rPr>
          <w:rFonts w:hint="eastAsia" w:ascii="仿宋_GB2312" w:hAnsi="仿宋_GB2312" w:eastAsia="仿宋_GB2312" w:cs="仿宋_GB2312"/>
          <w:b/>
          <w:bCs/>
          <w:color w:val="auto"/>
          <w:sz w:val="24"/>
          <w:highlight w:val="none"/>
        </w:rPr>
        <w:t>对比选申请人的资格要求：</w:t>
      </w:r>
      <w:bookmarkEnd w:id="21"/>
      <w:bookmarkEnd w:id="22"/>
      <w:bookmarkEnd w:id="23"/>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资质要求：依法在中华人民共和国境内设立五年以上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pPr>
        <w:spacing w:line="46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（二）人员要求：</w:t>
      </w:r>
      <w:r>
        <w:rPr>
          <w:rFonts w:hint="eastAsia" w:ascii="仿宋_GB2312" w:hAnsi="仿宋_GB2312" w:eastAsia="仿宋_GB2312" w:cs="仿宋_GB2312"/>
          <w:bCs/>
          <w:color w:val="auto"/>
          <w:sz w:val="24"/>
          <w:highlight w:val="none"/>
        </w:rPr>
        <w:t>比选申请人需在四川省内具有常设机构，机构应拥有</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0名以上的注册专职律师；能够组建相对固定且不少于3人的律师顾问团队（不含实习律师、律师助理），比选申请人拟任的项目负责律师</w:t>
      </w:r>
      <w:r>
        <w:rPr>
          <w:rFonts w:hint="eastAsia" w:ascii="仿宋_GB2312" w:hAnsi="仿宋_GB2312" w:eastAsia="仿宋_GB2312" w:cs="仿宋_GB2312"/>
          <w:color w:val="auto"/>
          <w:sz w:val="24"/>
          <w:highlight w:val="none"/>
        </w:rPr>
        <w:t>具有10年以及10年以上执业经验</w:t>
      </w: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color w:val="auto"/>
          <w:sz w:val="24"/>
          <w:highlight w:val="none"/>
        </w:rPr>
        <w:t>团队其他律师应具有司法行政主管部门颁发的《律师执业证》，执业时间3年以上，合法有效且年检合格。</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（三）信誉要求：信誉良好，比选申请人及其执业律师最近3年内未受到司法行政部门的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w:t>
      </w:r>
      <w:r>
        <w:rPr>
          <w:rFonts w:hint="eastAsia" w:ascii="仿宋_GB2312" w:hAnsi="仿宋_GB2312" w:eastAsia="仿宋_GB2312" w:cs="仿宋_GB2312"/>
          <w:color w:val="auto"/>
          <w:sz w:val="24"/>
          <w:highlight w:val="none"/>
          <w:lang w:val="en-US" w:eastAsia="zh-CN"/>
        </w:rPr>
        <w:t>最近3年内</w:t>
      </w:r>
      <w:r>
        <w:rPr>
          <w:rFonts w:hint="eastAsia" w:ascii="仿宋_GB2312" w:hAnsi="仿宋_GB2312" w:eastAsia="仿宋_GB2312" w:cs="仿宋_GB2312"/>
          <w:color w:val="auto"/>
          <w:sz w:val="24"/>
          <w:highlight w:val="none"/>
        </w:rPr>
        <w:t>法律服务未因重大执业质量等问题受到省国资委的通报（提供网页查询截图）；</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（四）财务要求：财务状况良好，近</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年无亏损（提供最近年度经审计后年度财务审计报告）；</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（七）本项目不接受联合体投标</w:t>
      </w:r>
      <w:r>
        <w:rPr>
          <w:rFonts w:hint="eastAsia" w:ascii="仿宋_GB2312" w:hAnsi="仿宋_GB2312" w:eastAsia="仿宋_GB2312" w:cs="仿宋_GB2312"/>
          <w:color w:val="auto"/>
          <w:sz w:val="24"/>
          <w:highlight w:val="none"/>
          <w:lang w:eastAsia="zh-CN"/>
        </w:rPr>
        <w:t>。</w:t>
      </w:r>
    </w:p>
    <w:p>
      <w:pPr>
        <w:spacing w:line="460" w:lineRule="exact"/>
        <w:rPr>
          <w:rFonts w:ascii="仿宋_GB2312" w:hAnsi="仿宋_GB2312" w:eastAsia="仿宋_GB2312" w:cs="仿宋_GB2312"/>
          <w:b/>
          <w:bCs/>
          <w:color w:val="auto"/>
          <w:sz w:val="24"/>
          <w:highlight w:val="none"/>
        </w:rPr>
      </w:pPr>
      <w:bookmarkStart w:id="24" w:name="_Toc8698"/>
      <w:bookmarkStart w:id="25" w:name="_Toc24559"/>
      <w:bookmarkStart w:id="26" w:name="_Toc8257"/>
      <w:r>
        <w:rPr>
          <w:rFonts w:hint="eastAsia" w:ascii="仿宋_GB2312" w:hAnsi="仿宋_GB2312" w:eastAsia="仿宋_GB2312" w:cs="仿宋_GB2312"/>
          <w:b/>
          <w:bCs/>
          <w:color w:val="auto"/>
          <w:sz w:val="24"/>
          <w:highlight w:val="none"/>
          <w:lang w:val="en-US" w:eastAsia="zh-CN"/>
        </w:rPr>
        <w:t>四</w:t>
      </w:r>
      <w:r>
        <w:rPr>
          <w:rFonts w:hint="eastAsia" w:ascii="仿宋_GB2312" w:hAnsi="仿宋_GB2312" w:eastAsia="仿宋_GB2312" w:cs="仿宋_GB2312"/>
          <w:b/>
          <w:bCs/>
          <w:color w:val="auto"/>
          <w:sz w:val="24"/>
          <w:highlight w:val="none"/>
        </w:rPr>
        <w:t>、比选文件获取时间及地点</w:t>
      </w:r>
      <w:bookmarkEnd w:id="24"/>
      <w:bookmarkEnd w:id="25"/>
      <w:bookmarkEnd w:id="26"/>
    </w:p>
    <w:p>
      <w:pPr>
        <w:spacing w:line="460" w:lineRule="exact"/>
        <w:ind w:firstLine="480" w:firstLineChars="200"/>
        <w:rPr>
          <w:rFonts w:ascii="仿宋_GB2312" w:hAnsi="仿宋_GB2312" w:eastAsia="仿宋_GB2312" w:cs="仿宋_GB2312"/>
          <w:color w:val="auto"/>
          <w:sz w:val="24"/>
          <w:highlight w:val="yellow"/>
        </w:rPr>
      </w:pPr>
      <w:r>
        <w:rPr>
          <w:rFonts w:hint="eastAsia" w:ascii="仿宋_GB2312" w:hAnsi="仿宋_GB2312" w:eastAsia="仿宋_GB2312" w:cs="仿宋_GB2312"/>
          <w:bCs/>
          <w:color w:val="auto"/>
          <w:sz w:val="24"/>
          <w:highlight w:val="yellow"/>
        </w:rPr>
        <w:t>1.获取比选文件</w:t>
      </w:r>
      <w:r>
        <w:rPr>
          <w:rFonts w:hint="eastAsia" w:ascii="仿宋_GB2312" w:hAnsi="仿宋_GB2312" w:eastAsia="仿宋_GB2312" w:cs="仿宋_GB2312"/>
          <w:color w:val="auto"/>
          <w:sz w:val="24"/>
          <w:highlight w:val="yellow"/>
        </w:rPr>
        <w:t>时间：自</w:t>
      </w:r>
      <w:r>
        <w:rPr>
          <w:rFonts w:hint="eastAsia" w:ascii="仿宋_GB2312" w:hAnsi="仿宋_GB2312" w:eastAsia="仿宋_GB2312" w:cs="仿宋_GB2312"/>
          <w:color w:val="auto"/>
          <w:sz w:val="24"/>
          <w:highlight w:val="yellow"/>
          <w:lang w:val="en-US" w:eastAsia="zh-CN"/>
        </w:rPr>
        <w:t>1月15日</w:t>
      </w:r>
      <w:r>
        <w:rPr>
          <w:rFonts w:hint="eastAsia" w:ascii="仿宋_GB2312" w:hAnsi="仿宋_GB2312" w:eastAsia="仿宋_GB2312" w:cs="仿宋_GB2312"/>
          <w:color w:val="auto"/>
          <w:sz w:val="24"/>
          <w:highlight w:val="yellow"/>
        </w:rPr>
        <w:t>至</w:t>
      </w:r>
      <w:r>
        <w:rPr>
          <w:rFonts w:hint="eastAsia" w:ascii="仿宋_GB2312" w:hAnsi="仿宋_GB2312" w:eastAsia="仿宋_GB2312" w:cs="仿宋_GB2312"/>
          <w:color w:val="auto"/>
          <w:sz w:val="24"/>
          <w:highlight w:val="yellow"/>
          <w:lang w:eastAsia="zh-CN"/>
        </w:rPr>
        <w:t>2024</w:t>
      </w:r>
      <w:r>
        <w:rPr>
          <w:rFonts w:hint="eastAsia" w:ascii="仿宋_GB2312" w:hAnsi="仿宋_GB2312" w:eastAsia="仿宋_GB2312" w:cs="仿宋_GB2312"/>
          <w:color w:val="auto"/>
          <w:sz w:val="24"/>
          <w:highlight w:val="yellow"/>
        </w:rPr>
        <w:t>年</w:t>
      </w:r>
      <w:r>
        <w:rPr>
          <w:rFonts w:hint="eastAsia" w:ascii="仿宋_GB2312" w:hAnsi="仿宋_GB2312" w:eastAsia="仿宋_GB2312" w:cs="仿宋_GB2312"/>
          <w:color w:val="auto"/>
          <w:sz w:val="24"/>
          <w:highlight w:val="yellow"/>
          <w:lang w:val="en-US" w:eastAsia="zh-CN"/>
        </w:rPr>
        <w:t>1</w:t>
      </w:r>
      <w:r>
        <w:rPr>
          <w:rFonts w:hint="eastAsia" w:ascii="仿宋_GB2312" w:hAnsi="仿宋_GB2312" w:eastAsia="仿宋_GB2312" w:cs="仿宋_GB2312"/>
          <w:color w:val="auto"/>
          <w:sz w:val="24"/>
          <w:highlight w:val="yellow"/>
        </w:rPr>
        <w:t>月</w:t>
      </w:r>
      <w:r>
        <w:rPr>
          <w:rFonts w:hint="eastAsia" w:ascii="仿宋_GB2312" w:hAnsi="仿宋_GB2312" w:eastAsia="仿宋_GB2312" w:cs="仿宋_GB2312"/>
          <w:color w:val="auto"/>
          <w:sz w:val="24"/>
          <w:highlight w:val="yellow"/>
          <w:lang w:val="en-US" w:eastAsia="zh-CN"/>
        </w:rPr>
        <w:t>22日（星期一）10：00前</w:t>
      </w:r>
      <w:r>
        <w:rPr>
          <w:rFonts w:hint="eastAsia" w:ascii="仿宋_GB2312" w:hAnsi="仿宋_GB2312" w:eastAsia="仿宋_GB2312" w:cs="仿宋_GB2312"/>
          <w:color w:val="auto"/>
          <w:sz w:val="24"/>
          <w:highlight w:val="yellow"/>
        </w:rPr>
        <w:t>。</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2.比选文件获取方式：本次比选公告在四川蜀道物流集团有限公司网站（https://www.shudaowl.com/xwzx/jtyw/index.shtml）和四川蜀物智采平台（https://scjt.tabe.cn/）发布。比选申请人报名获取比选文件，将①单位介绍信</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kern w:val="2"/>
          <w:sz w:val="24"/>
          <w:szCs w:val="24"/>
          <w:highlight w:val="none"/>
          <w:lang w:val="zh-CN" w:bidi="zh-CN"/>
        </w:rPr>
        <w:t>介绍信</w:t>
      </w:r>
      <w:r>
        <w:rPr>
          <w:rFonts w:hint="eastAsia" w:ascii="仿宋_GB2312" w:hAnsi="仿宋_GB2312" w:eastAsia="仿宋_GB2312" w:cs="仿宋_GB2312"/>
          <w:color w:val="auto"/>
          <w:kern w:val="2"/>
          <w:sz w:val="24"/>
          <w:szCs w:val="24"/>
          <w:highlight w:val="none"/>
          <w:lang w:val="en-US" w:bidi="zh-CN"/>
        </w:rPr>
        <w:t>应</w:t>
      </w:r>
      <w:r>
        <w:rPr>
          <w:rFonts w:hint="eastAsia" w:ascii="仿宋_GB2312" w:hAnsi="仿宋_GB2312" w:eastAsia="仿宋_GB2312" w:cs="仿宋_GB2312"/>
          <w:color w:val="auto"/>
          <w:kern w:val="2"/>
          <w:sz w:val="24"/>
          <w:szCs w:val="24"/>
          <w:highlight w:val="none"/>
          <w:lang w:val="zh-CN" w:bidi="zh-CN"/>
        </w:rPr>
        <w:t>备注联系电话）</w:t>
      </w:r>
      <w:r>
        <w:rPr>
          <w:rFonts w:hint="eastAsia" w:ascii="仿宋_GB2312" w:hAnsi="仿宋_GB2312" w:eastAsia="仿宋_GB2312" w:cs="仿宋_GB2312"/>
          <w:color w:val="auto"/>
          <w:sz w:val="24"/>
          <w:highlight w:val="none"/>
        </w:rPr>
        <w:t>；②经办人身份证复印件（复印件须加盖公章）；③律师事务所执业许可证复印件（复印件须加盖公章）发送至经营管理部邮箱liuziling@sdlhk.com获取比选文件。</w:t>
      </w:r>
    </w:p>
    <w:p>
      <w:pPr>
        <w:spacing w:line="460" w:lineRule="exact"/>
        <w:rPr>
          <w:rFonts w:ascii="仿宋_GB2312" w:hAnsi="仿宋_GB2312" w:eastAsia="仿宋_GB2312" w:cs="仿宋_GB2312"/>
          <w:b/>
          <w:bCs/>
          <w:color w:val="auto"/>
          <w:sz w:val="24"/>
          <w:highlight w:val="none"/>
        </w:rPr>
      </w:pPr>
      <w:bookmarkStart w:id="27" w:name="_Toc6668"/>
      <w:bookmarkStart w:id="28" w:name="_Toc17101"/>
      <w:bookmarkStart w:id="29" w:name="_Toc10949"/>
      <w:r>
        <w:rPr>
          <w:rFonts w:hint="eastAsia" w:ascii="仿宋_GB2312" w:hAnsi="仿宋_GB2312" w:eastAsia="仿宋_GB2312" w:cs="仿宋_GB2312"/>
          <w:b/>
          <w:bCs/>
          <w:color w:val="auto"/>
          <w:sz w:val="24"/>
          <w:highlight w:val="none"/>
          <w:lang w:val="en-US" w:eastAsia="zh-CN"/>
        </w:rPr>
        <w:t>五</w:t>
      </w:r>
      <w:r>
        <w:rPr>
          <w:rFonts w:hint="eastAsia" w:ascii="仿宋_GB2312" w:hAnsi="仿宋_GB2312" w:eastAsia="仿宋_GB2312" w:cs="仿宋_GB2312"/>
          <w:b/>
          <w:bCs/>
          <w:color w:val="auto"/>
          <w:sz w:val="24"/>
          <w:highlight w:val="none"/>
        </w:rPr>
        <w:t>、比选申请书的递交：</w:t>
      </w:r>
      <w:bookmarkEnd w:id="27"/>
      <w:bookmarkEnd w:id="28"/>
      <w:bookmarkEnd w:id="29"/>
    </w:p>
    <w:p>
      <w:pPr>
        <w:spacing w:line="460" w:lineRule="exact"/>
        <w:ind w:firstLine="480" w:firstLineChars="200"/>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highlight w:val="yellow"/>
        </w:rPr>
        <w:t>1.递交比选申请书</w:t>
      </w:r>
      <w:r>
        <w:rPr>
          <w:rFonts w:hint="eastAsia" w:ascii="仿宋_GB2312" w:hAnsi="仿宋_GB2312" w:eastAsia="仿宋_GB2312" w:cs="仿宋_GB2312"/>
          <w:color w:val="auto"/>
          <w:sz w:val="24"/>
          <w:highlight w:val="yellow"/>
          <w:lang w:val="en-US" w:eastAsia="zh-CN"/>
        </w:rPr>
        <w:t>递交</w:t>
      </w:r>
      <w:r>
        <w:rPr>
          <w:rFonts w:hint="eastAsia" w:ascii="仿宋_GB2312" w:hAnsi="仿宋_GB2312" w:eastAsia="仿宋_GB2312" w:cs="仿宋_GB2312"/>
          <w:color w:val="auto"/>
          <w:sz w:val="24"/>
          <w:highlight w:val="yellow"/>
        </w:rPr>
        <w:t>时间：</w:t>
      </w:r>
      <w:r>
        <w:rPr>
          <w:rFonts w:hint="eastAsia" w:ascii="仿宋_GB2312" w:hAnsi="仿宋_GB2312" w:eastAsia="仿宋_GB2312" w:cs="仿宋_GB2312"/>
          <w:color w:val="auto"/>
          <w:sz w:val="24"/>
          <w:highlight w:val="yellow"/>
          <w:lang w:eastAsia="zh-CN"/>
        </w:rPr>
        <w:t>2024</w:t>
      </w:r>
      <w:r>
        <w:rPr>
          <w:rFonts w:hint="eastAsia" w:ascii="仿宋_GB2312" w:hAnsi="仿宋_GB2312" w:eastAsia="仿宋_GB2312" w:cs="仿宋_GB2312"/>
          <w:color w:val="auto"/>
          <w:sz w:val="24"/>
          <w:highlight w:val="yellow"/>
        </w:rPr>
        <w:t>年</w:t>
      </w:r>
      <w:r>
        <w:rPr>
          <w:rFonts w:hint="eastAsia" w:ascii="仿宋_GB2312" w:hAnsi="仿宋_GB2312" w:eastAsia="仿宋_GB2312" w:cs="仿宋_GB2312"/>
          <w:color w:val="auto"/>
          <w:sz w:val="24"/>
          <w:highlight w:val="yellow"/>
          <w:lang w:val="en-US" w:eastAsia="zh-CN"/>
        </w:rPr>
        <w:t>1月22日（星期一）8：30至</w:t>
      </w:r>
      <w:r>
        <w:rPr>
          <w:rFonts w:hint="eastAsia" w:ascii="仿宋_GB2312" w:hAnsi="仿宋_GB2312" w:eastAsia="仿宋_GB2312" w:cs="仿宋_GB2312"/>
          <w:color w:val="auto"/>
          <w:sz w:val="24"/>
          <w:highlight w:val="yellow"/>
        </w:rPr>
        <w:t>10:00（北京时间）。</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2.递交比选申请书地点：四川省成都市青羊区光华北五路266号青羊总部经济基地2号楼A座6楼，比选申请人应派代表出席并签认开标结果。</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3.逾期送达或者未送达指定地点的比选申请书，比选人将不予接收。</w:t>
      </w:r>
    </w:p>
    <w:p>
      <w:pPr>
        <w:spacing w:line="460" w:lineRule="exact"/>
        <w:rPr>
          <w:rFonts w:ascii="仿宋_GB2312" w:hAnsi="仿宋_GB2312" w:eastAsia="仿宋_GB2312" w:cs="仿宋_GB2312"/>
          <w:b/>
          <w:bCs/>
          <w:color w:val="auto"/>
          <w:sz w:val="24"/>
          <w:highlight w:val="none"/>
        </w:rPr>
      </w:pPr>
      <w:bookmarkStart w:id="30" w:name="_Toc3060"/>
      <w:bookmarkStart w:id="31" w:name="_Toc11556"/>
      <w:bookmarkStart w:id="32" w:name="_Toc44"/>
      <w:r>
        <w:rPr>
          <w:rFonts w:hint="eastAsia" w:ascii="仿宋_GB2312" w:hAnsi="仿宋_GB2312" w:eastAsia="仿宋_GB2312" w:cs="仿宋_GB2312"/>
          <w:b/>
          <w:bCs/>
          <w:color w:val="auto"/>
          <w:sz w:val="24"/>
          <w:highlight w:val="none"/>
          <w:lang w:val="en-US" w:eastAsia="zh-CN"/>
        </w:rPr>
        <w:t>六</w:t>
      </w:r>
      <w:r>
        <w:rPr>
          <w:rFonts w:hint="eastAsia" w:ascii="仿宋_GB2312" w:hAnsi="仿宋_GB2312" w:eastAsia="仿宋_GB2312" w:cs="仿宋_GB2312"/>
          <w:b/>
          <w:bCs/>
          <w:color w:val="auto"/>
          <w:sz w:val="24"/>
          <w:highlight w:val="none"/>
        </w:rPr>
        <w:t>、比选结果</w:t>
      </w:r>
      <w:bookmarkEnd w:id="30"/>
      <w:bookmarkEnd w:id="31"/>
      <w:bookmarkEnd w:id="32"/>
      <w:r>
        <w:rPr>
          <w:rFonts w:hint="eastAsia" w:ascii="仿宋_GB2312" w:hAnsi="仿宋_GB2312" w:eastAsia="仿宋_GB2312" w:cs="仿宋_GB2312"/>
          <w:b/>
          <w:bCs/>
          <w:color w:val="auto"/>
          <w:sz w:val="24"/>
          <w:highlight w:val="none"/>
        </w:rPr>
        <w:t>公示</w:t>
      </w:r>
    </w:p>
    <w:p>
      <w:pPr>
        <w:spacing w:line="460" w:lineRule="exact"/>
        <w:ind w:firstLine="480" w:firstLineChars="200"/>
        <w:rPr>
          <w:rFonts w:ascii="仿宋_GB2312" w:hAnsi="仿宋_GB2312" w:eastAsia="仿宋_GB2312" w:cs="仿宋_GB2312"/>
          <w:color w:val="auto"/>
          <w:sz w:val="24"/>
          <w:highlight w:val="none"/>
        </w:rPr>
      </w:pPr>
      <w:bookmarkStart w:id="33" w:name="_Toc20715"/>
      <w:bookmarkStart w:id="34" w:name="_Toc3220"/>
      <w:bookmarkStart w:id="35" w:name="_Toc27109"/>
      <w:r>
        <w:rPr>
          <w:rFonts w:hint="eastAsia" w:ascii="仿宋_GB2312" w:hAnsi="仿宋_GB2312" w:eastAsia="仿宋_GB2312" w:cs="仿宋_GB2312"/>
          <w:color w:val="auto"/>
          <w:sz w:val="24"/>
          <w:highlight w:val="none"/>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en-US" w:eastAsia="zh-CN"/>
        </w:rPr>
        <w:t>七</w:t>
      </w:r>
      <w:r>
        <w:rPr>
          <w:rFonts w:hint="eastAsia" w:ascii="仿宋_GB2312" w:hAnsi="仿宋_GB2312" w:eastAsia="仿宋_GB2312" w:cs="仿宋_GB2312"/>
          <w:b/>
          <w:bCs/>
          <w:color w:val="auto"/>
          <w:sz w:val="24"/>
          <w:highlight w:val="none"/>
        </w:rPr>
        <w:t>、联系方式</w:t>
      </w:r>
      <w:bookmarkEnd w:id="33"/>
      <w:bookmarkEnd w:id="34"/>
      <w:bookmarkEnd w:id="35"/>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蜀道物流（香港）</w:t>
      </w:r>
      <w:r>
        <w:rPr>
          <w:rFonts w:hint="eastAsia" w:ascii="仿宋_GB2312" w:hAnsi="仿宋_GB2312" w:eastAsia="仿宋_GB2312" w:cs="仿宋_GB2312"/>
          <w:color w:val="auto"/>
          <w:sz w:val="24"/>
          <w:highlight w:val="none"/>
        </w:rPr>
        <w:t>有限公司</w:t>
      </w:r>
    </w:p>
    <w:p>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地址：四川省成都市青羊区光华北五路266号青羊总部经济基地2号楼A座6楼</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陈</w:t>
      </w:r>
      <w:r>
        <w:rPr>
          <w:rFonts w:hint="eastAsia" w:ascii="仿宋_GB2312" w:hAnsi="仿宋_GB2312" w:eastAsia="仿宋_GB2312" w:cs="仿宋_GB2312"/>
          <w:color w:val="auto"/>
          <w:sz w:val="24"/>
          <w:highlight w:val="none"/>
        </w:rPr>
        <w:t>女士</w:t>
      </w:r>
    </w:p>
    <w:p>
      <w:pPr>
        <w:spacing w:line="46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18782117930</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监督电话：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xxxxxxx</w:t>
      </w:r>
      <w:r>
        <w:rPr>
          <w:rFonts w:hint="eastAsia" w:ascii="仿宋_GB2312" w:hAnsi="仿宋_GB2312" w:eastAsia="仿宋_GB2312" w:cs="仿宋_GB2312"/>
          <w:color w:val="auto"/>
          <w:sz w:val="24"/>
          <w:highlight w:val="none"/>
          <w:u w:val="single"/>
        </w:rPr>
        <w:t xml:space="preserve"> </w:t>
      </w:r>
    </w:p>
    <w:p>
      <w:pPr>
        <w:spacing w:line="460" w:lineRule="exact"/>
        <w:jc w:val="righ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eastAsia="zh-CN"/>
        </w:rPr>
        <w:t>蜀道物流（香港）有限公司</w:t>
      </w:r>
    </w:p>
    <w:p>
      <w:pPr>
        <w:wordWrap w:val="0"/>
        <w:spacing w:line="460" w:lineRule="exact"/>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2024</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15</w:t>
      </w:r>
      <w:r>
        <w:rPr>
          <w:rFonts w:hint="eastAsia" w:ascii="仿宋_GB2312" w:hAnsi="仿宋_GB2312" w:eastAsia="仿宋_GB2312" w:cs="仿宋_GB2312"/>
          <w:color w:val="auto"/>
          <w:sz w:val="24"/>
          <w:highlight w:val="none"/>
        </w:rPr>
        <w:t xml:space="preserve">日       </w:t>
      </w:r>
    </w:p>
    <w:p>
      <w:pPr>
        <w:spacing w:line="460" w:lineRule="exact"/>
        <w:jc w:val="center"/>
        <w:rPr>
          <w:rFonts w:ascii="仿宋_GB2312" w:hAnsi="仿宋_GB2312" w:eastAsia="仿宋_GB2312" w:cs="仿宋_GB2312"/>
          <w:color w:val="auto"/>
          <w:sz w:val="24"/>
          <w:szCs w:val="24"/>
          <w:highlight w:val="none"/>
        </w:rPr>
        <w:sectPr>
          <w:footerReference r:id="rId5" w:type="default"/>
          <w:pgSz w:w="11906" w:h="16838"/>
          <w:pgMar w:top="1134" w:right="1134" w:bottom="1134" w:left="1418" w:header="851" w:footer="992" w:gutter="0"/>
          <w:pgNumType w:fmt="decimal" w:start="1"/>
          <w:cols w:space="720" w:num="1"/>
          <w:docGrid w:type="lines" w:linePitch="312" w:charSpace="0"/>
        </w:sectPr>
      </w:pPr>
      <w:bookmarkStart w:id="36" w:name="_Toc10831"/>
      <w:bookmarkStart w:id="37" w:name="_Toc15543"/>
    </w:p>
    <w:p>
      <w:pPr>
        <w:keepNext/>
        <w:keepLines/>
        <w:widowControl w:val="0"/>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38" w:name="_Toc28084"/>
      <w:bookmarkStart w:id="39" w:name="_Toc2958"/>
      <w:bookmarkStart w:id="40" w:name="_Toc11789"/>
      <w:bookmarkStart w:id="41" w:name="_Toc8513"/>
      <w:bookmarkStart w:id="42" w:name="_Toc32694"/>
      <w:bookmarkStart w:id="43" w:name="_Toc11060"/>
      <w:bookmarkStart w:id="44" w:name="_Toc29401"/>
      <w:bookmarkStart w:id="45" w:name="_Toc12159"/>
      <w:bookmarkStart w:id="46" w:name="_Toc28121"/>
      <w:bookmarkStart w:id="47" w:name="_Toc18098"/>
      <w:r>
        <w:rPr>
          <w:rFonts w:hint="eastAsia" w:ascii="仿宋_GB2312" w:hAnsi="仿宋_GB2312" w:eastAsia="仿宋_GB2312" w:cs="仿宋_GB2312"/>
          <w:b/>
          <w:bCs/>
          <w:color w:val="auto"/>
          <w:kern w:val="44"/>
          <w:sz w:val="32"/>
          <w:szCs w:val="32"/>
          <w:highlight w:val="none"/>
          <w:lang w:val="en-US" w:eastAsia="zh-CN" w:bidi="ar-SA"/>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bookmarkStart w:id="48" w:name="_Toc29372"/>
      <w:bookmarkStart w:id="49" w:name="_Toc20515"/>
      <w:bookmarkStart w:id="50" w:name="_Toc28840"/>
      <w:bookmarkStart w:id="51" w:name="_Toc7543"/>
      <w:bookmarkStart w:id="52" w:name="_Toc13191"/>
      <w:r>
        <w:rPr>
          <w:rFonts w:hint="eastAsia" w:ascii="仿宋_GB2312" w:hAnsi="仿宋_GB2312" w:eastAsia="仿宋_GB2312" w:cs="仿宋_GB2312"/>
          <w:b/>
          <w:bCs/>
          <w:color w:val="auto"/>
          <w:kern w:val="28"/>
          <w:sz w:val="24"/>
          <w:szCs w:val="24"/>
          <w:highlight w:val="none"/>
          <w:lang w:val="en-US" w:eastAsia="zh-CN" w:bidi="ar-SA"/>
        </w:rPr>
        <w:t>一、比选申请人须知前附表</w:t>
      </w:r>
      <w:bookmarkEnd w:id="48"/>
      <w:bookmarkEnd w:id="49"/>
      <w:bookmarkEnd w:id="50"/>
      <w:bookmarkEnd w:id="51"/>
      <w:bookmarkEnd w:id="52"/>
    </w:p>
    <w:tbl>
      <w:tblPr>
        <w:tblStyle w:val="1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c>
          <w:tcPr>
            <w:tcW w:w="66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蜀道物流（香港）</w:t>
            </w:r>
            <w:r>
              <w:rPr>
                <w:rFonts w:hint="eastAsia" w:ascii="仿宋_GB2312" w:hAnsi="仿宋_GB2312" w:eastAsia="仿宋_GB2312" w:cs="仿宋_GB2312"/>
                <w:color w:val="auto"/>
                <w:sz w:val="24"/>
                <w:highlight w:val="none"/>
              </w:rPr>
              <w:t>有限公司</w:t>
            </w:r>
          </w:p>
          <w:p>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楼</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eastAsia="zh-CN"/>
              </w:rPr>
              <w:t>陈</w:t>
            </w:r>
            <w:r>
              <w:rPr>
                <w:rFonts w:hint="eastAsia" w:ascii="仿宋_GB2312" w:hAnsi="仿宋_GB2312" w:eastAsia="仿宋_GB2312" w:cs="仿宋_GB2312"/>
                <w:color w:val="auto"/>
                <w:sz w:val="24"/>
                <w:highlight w:val="none"/>
              </w:rPr>
              <w:t>女士</w:t>
            </w:r>
          </w:p>
          <w:p>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18782117930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蜀道物流（香港）有限公司</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顾问服务单位选聘项目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比选申请书的</w:t>
            </w:r>
          </w:p>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印制和签署</w:t>
            </w:r>
          </w:p>
          <w:p>
            <w:pPr>
              <w:spacing w:line="460" w:lineRule="exact"/>
              <w:jc w:val="center"/>
              <w:rPr>
                <w:rFonts w:ascii="仿宋_GB2312" w:hAnsi="仿宋_GB2312" w:eastAsia="仿宋_GB2312" w:cs="仿宋_GB2312"/>
                <w:color w:val="auto"/>
                <w:sz w:val="24"/>
                <w:highlight w:val="none"/>
              </w:rPr>
            </w:pP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比选申请书数量：</w:t>
            </w:r>
            <w:r>
              <w:rPr>
                <w:rFonts w:hint="eastAsia" w:ascii="仿宋_GB2312" w:hAnsi="仿宋_GB2312" w:eastAsia="仿宋_GB2312" w:cs="仿宋_GB2312"/>
                <w:color w:val="auto"/>
                <w:sz w:val="24"/>
                <w:highlight w:val="none"/>
              </w:rPr>
              <w:t>正本壹份，副本壹份，电子文档壹份（以PDF格式存放在U盘里的副本扫描件）。</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制作要求：</w:t>
            </w:r>
            <w:r>
              <w:rPr>
                <w:rFonts w:hint="eastAsia" w:ascii="仿宋_GB2312" w:hAnsi="仿宋_GB2312" w:eastAsia="仿宋_GB2312" w:cs="仿宋_GB2312"/>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392" w:type="dxa"/>
            <w:vAlign w:val="center"/>
          </w:tcPr>
          <w:p>
            <w:pPr>
              <w:spacing w:line="460" w:lineRule="exact"/>
              <w:jc w:val="center"/>
              <w:rPr>
                <w:rFonts w:ascii="仿宋_GB2312" w:hAnsi="仿宋_GB2312" w:eastAsia="仿宋_GB2312" w:cs="仿宋_GB2312"/>
                <w:color w:val="auto"/>
                <w:sz w:val="24"/>
                <w:highlight w:val="none"/>
              </w:rPr>
            </w:pPr>
          </w:p>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p>
            <w:pPr>
              <w:spacing w:line="460" w:lineRule="exact"/>
              <w:jc w:val="center"/>
              <w:rPr>
                <w:rFonts w:ascii="仿宋_GB2312" w:hAnsi="仿宋_GB2312" w:eastAsia="仿宋_GB2312" w:cs="仿宋_GB2312"/>
                <w:color w:val="auto"/>
                <w:sz w:val="24"/>
                <w:highlight w:val="none"/>
              </w:rPr>
            </w:pP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r>
              <w:rPr>
                <w:rFonts w:hint="eastAsia" w:ascii="仿宋_GB2312" w:hAnsi="仿宋_GB2312" w:eastAsia="仿宋_GB2312" w:cs="仿宋_GB2312"/>
                <w:color w:val="auto"/>
                <w:sz w:val="24"/>
                <w:highlight w:val="none"/>
                <w:lang w:val="en-US" w:eastAsia="zh-CN"/>
              </w:rPr>
              <w:t>8万</w:t>
            </w:r>
            <w:r>
              <w:rPr>
                <w:rFonts w:hint="eastAsia" w:ascii="仿宋_GB2312" w:hAnsi="仿宋_GB2312" w:eastAsia="仿宋_GB2312" w:cs="仿宋_GB2312"/>
                <w:color w:val="auto"/>
                <w:sz w:val="24"/>
                <w:highlight w:val="none"/>
              </w:rPr>
              <w:t>/年。比选人超过最高限价的比选报价为零分。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2392" w:type="dxa"/>
            <w:vAlign w:val="center"/>
          </w:tcPr>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履约期限</w:t>
            </w:r>
          </w:p>
        </w:tc>
        <w:tc>
          <w:tcPr>
            <w:tcW w:w="6662" w:type="dxa"/>
            <w:vAlign w:val="center"/>
          </w:tcPr>
          <w:p>
            <w:pPr>
              <w:spacing w:line="460" w:lineRule="exact"/>
              <w:ind w:firstLine="2160" w:firstLineChars="9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履约地点</w:t>
            </w:r>
          </w:p>
        </w:tc>
        <w:tc>
          <w:tcPr>
            <w:tcW w:w="6662" w:type="dxa"/>
            <w:vAlign w:val="center"/>
          </w:tcPr>
          <w:p>
            <w:pPr>
              <w:spacing w:line="460" w:lineRule="exact"/>
              <w:ind w:firstLine="2160" w:firstLineChars="9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评审方法</w:t>
            </w:r>
          </w:p>
        </w:tc>
        <w:tc>
          <w:tcPr>
            <w:tcW w:w="66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详见比选文件第六章。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239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关于比选文件规定的时间释义</w:t>
            </w:r>
          </w:p>
        </w:tc>
        <w:tc>
          <w:tcPr>
            <w:tcW w:w="66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2392" w:type="dxa"/>
            <w:vAlign w:val="center"/>
          </w:tcPr>
          <w:p>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参与比选活动保证金</w:t>
            </w:r>
          </w:p>
        </w:tc>
        <w:tc>
          <w:tcPr>
            <w:tcW w:w="6662" w:type="dxa"/>
            <w:vAlign w:val="center"/>
          </w:tcPr>
          <w:p>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考察现场、标前答疑会</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color w:val="auto"/>
                <w:sz w:val="24"/>
                <w:highlight w:val="none"/>
                <w:lang w:val="en-US" w:eastAsia="zh-CN"/>
              </w:rPr>
              <w:t>不</w:t>
            </w:r>
            <w:r>
              <w:rPr>
                <w:rFonts w:hint="eastAsia" w:ascii="仿宋_GB2312" w:hAnsi="仿宋_GB2312" w:eastAsia="仿宋_GB2312" w:cs="仿宋_GB2312"/>
                <w:color w:val="auto"/>
                <w:sz w:val="24"/>
                <w:highlight w:val="none"/>
              </w:rPr>
              <w:t>组织现场考察、标前答疑会。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bookmarkStart w:id="53" w:name="_Toc29260"/>
            <w:bookmarkStart w:id="54" w:name="_Toc10423"/>
            <w:bookmarkStart w:id="55" w:name="_Toc26013"/>
            <w:r>
              <w:rPr>
                <w:rFonts w:hint="eastAsia" w:ascii="仿宋_GB2312" w:hAnsi="仿宋_GB2312" w:eastAsia="仿宋_GB2312" w:cs="仿宋_GB2312"/>
                <w:color w:val="auto"/>
                <w:sz w:val="24"/>
                <w:highlight w:val="none"/>
              </w:rPr>
              <w:t>12</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报价有效期</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报价截止之日起</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签字盖章</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比选申请人必须按照采购文件的规定和要求签字、盖章。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响应文件的装订</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一份正本和一份副本分别装订。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响应文件封面的标注</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响应文件正本和副本的封面上均应标明：采购项目名称、申请人名称、年月日；并分别在右上角标明“正本”和“副本”字样。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响应文件外层密封袋的标注</w:t>
            </w:r>
          </w:p>
        </w:tc>
        <w:tc>
          <w:tcPr>
            <w:tcW w:w="6662" w:type="dxa"/>
            <w:vAlign w:val="center"/>
          </w:tcPr>
          <w:p>
            <w:pPr>
              <w:widowControl w:val="0"/>
              <w:spacing w:line="4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采购项目名称、申请人名称、响应时间，密封袋背面应贴上密封条并注明“开标前不得开启”字样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递交报价文件地点</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default" w:ascii="仿宋_GB2312" w:hAnsi="仿宋_GB2312" w:eastAsia="仿宋_GB2312" w:cs="仿宋_GB2312"/>
                <w:color w:val="auto"/>
                <w:sz w:val="24"/>
                <w:highlight w:val="none"/>
              </w:rPr>
              <w:t>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default" w:ascii="仿宋_GB2312" w:hAnsi="仿宋_GB2312" w:eastAsia="仿宋_GB2312" w:cs="仿宋_GB2312"/>
                <w:color w:val="auto"/>
                <w:sz w:val="24"/>
                <w:highlight w:val="none"/>
              </w:rPr>
              <w:t>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评审时间和地点</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评审时间：同报价截止时间；</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评审地点：同递交响应文件地点。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w:t>
            </w:r>
          </w:p>
        </w:tc>
        <w:tc>
          <w:tcPr>
            <w:tcW w:w="239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w:t>
            </w:r>
          </w:p>
        </w:tc>
        <w:tc>
          <w:tcPr>
            <w:tcW w:w="6662" w:type="dxa"/>
            <w:vAlign w:val="center"/>
          </w:tcPr>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spacing w:line="460" w:lineRule="exact"/>
              <w:jc w:val="center"/>
              <w:rPr>
                <w:rFonts w:hint="default" w:ascii="仿宋_GB2312" w:hAnsi="仿宋_GB2312" w:eastAsia="仿宋_GB2312" w:cs="仿宋_GB2312"/>
                <w:color w:val="auto"/>
                <w:sz w:val="24"/>
                <w:highlight w:val="none"/>
                <w:lang w:val="en-US" w:eastAsia="zh-CN"/>
              </w:rPr>
            </w:pPr>
            <w:bookmarkStart w:id="56" w:name="_Toc7226"/>
            <w:bookmarkStart w:id="57" w:name="_Toc23806"/>
            <w:bookmarkStart w:id="58" w:name="_Toc30748"/>
            <w:r>
              <w:rPr>
                <w:rFonts w:hint="eastAsia" w:ascii="仿宋_GB2312" w:hAnsi="仿宋_GB2312" w:eastAsia="仿宋_GB2312" w:cs="仿宋_GB2312"/>
                <w:color w:val="auto"/>
                <w:sz w:val="24"/>
                <w:highlight w:val="none"/>
                <w:lang w:val="en-US" w:eastAsia="zh-CN"/>
              </w:rPr>
              <w:t>20</w:t>
            </w:r>
          </w:p>
        </w:tc>
        <w:tc>
          <w:tcPr>
            <w:tcW w:w="2392" w:type="dxa"/>
            <w:vAlign w:val="center"/>
          </w:tcPr>
          <w:p>
            <w:pPr>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其他事项</w:t>
            </w:r>
          </w:p>
        </w:tc>
        <w:tc>
          <w:tcPr>
            <w:tcW w:w="6662" w:type="dxa"/>
            <w:vAlign w:val="center"/>
          </w:tcPr>
          <w:p>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比选文件前后不一致的，以内容在前的描述为准。</w:t>
            </w:r>
          </w:p>
        </w:tc>
      </w:tr>
    </w:tbl>
    <w:p>
      <w:pPr>
        <w:spacing w:before="240" w:after="60" w:line="460" w:lineRule="exac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二、总则</w:t>
      </w:r>
      <w:bookmarkEnd w:id="53"/>
      <w:bookmarkEnd w:id="54"/>
      <w:bookmarkEnd w:id="55"/>
      <w:bookmarkEnd w:id="56"/>
      <w:bookmarkEnd w:id="57"/>
      <w:bookmarkEnd w:id="58"/>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59" w:name="_Toc183582205"/>
      <w:bookmarkStart w:id="60" w:name="_Toc183682342"/>
      <w:bookmarkStart w:id="61" w:name="_Toc505261839"/>
      <w:bookmarkStart w:id="62" w:name="_Toc14336241"/>
      <w:bookmarkStart w:id="63" w:name="_Toc474326973"/>
      <w:bookmarkStart w:id="64" w:name="_Toc22245"/>
      <w:bookmarkStart w:id="65" w:name="_Toc217446034"/>
      <w:bookmarkStart w:id="66" w:name="_Toc444620282"/>
      <w:bookmarkStart w:id="67" w:name="_Toc15283"/>
      <w:bookmarkStart w:id="68" w:name="_Toc23579"/>
      <w:bookmarkStart w:id="69" w:name="_Toc361325741"/>
      <w:bookmarkStart w:id="70" w:name="_Toc14948"/>
      <w:bookmarkStart w:id="71" w:name="_Toc474502513"/>
      <w:bookmarkStart w:id="72" w:name="_Toc513468977"/>
      <w:bookmarkStart w:id="73" w:name="_Toc466391880"/>
      <w:bookmarkStart w:id="74" w:name="_Toc361388549"/>
      <w:bookmarkStart w:id="75" w:name="_Toc362988437"/>
      <w:bookmarkStart w:id="76" w:name="_Toc480453647"/>
      <w:bookmarkStart w:id="77" w:name="_Toc25528"/>
      <w:bookmarkStart w:id="78" w:name="_Toc465149293"/>
      <w:bookmarkStart w:id="79" w:name="_Toc14301616"/>
      <w:bookmarkStart w:id="80" w:name="_Toc13301"/>
      <w:r>
        <w:rPr>
          <w:rFonts w:hint="eastAsia" w:ascii="仿宋_GB2312" w:hAnsi="仿宋_GB2312" w:eastAsia="仿宋_GB2312" w:cs="仿宋_GB2312"/>
          <w:b/>
          <w:bCs/>
          <w:color w:val="auto"/>
          <w:kern w:val="2"/>
          <w:sz w:val="24"/>
          <w:szCs w:val="24"/>
          <w:highlight w:val="none"/>
          <w:lang w:val="en-US" w:eastAsia="zh-CN" w:bidi="ar-SA"/>
        </w:rPr>
        <w:t>1</w:t>
      </w:r>
      <w:bookmarkEnd w:id="59"/>
      <w:bookmarkEnd w:id="60"/>
      <w:r>
        <w:rPr>
          <w:rFonts w:hint="eastAsia" w:ascii="仿宋_GB2312" w:hAnsi="仿宋_GB2312" w:eastAsia="仿宋_GB2312" w:cs="仿宋_GB2312"/>
          <w:b/>
          <w:bCs/>
          <w:color w:val="auto"/>
          <w:kern w:val="2"/>
          <w:sz w:val="24"/>
          <w:szCs w:val="24"/>
          <w:highlight w:val="none"/>
          <w:lang w:val="en-US" w:eastAsia="zh-CN" w:bidi="ar-SA"/>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本比选文件仅适用于本次比选项目。</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81" w:name="_Toc13250"/>
      <w:bookmarkStart w:id="82" w:name="_Toc474326974"/>
      <w:bookmarkStart w:id="83" w:name="_Toc513468978"/>
      <w:bookmarkStart w:id="84" w:name="_Toc217446035"/>
      <w:bookmarkStart w:id="85" w:name="_Toc14336242"/>
      <w:bookmarkStart w:id="86" w:name="_Toc7966"/>
      <w:bookmarkStart w:id="87" w:name="_Toc444620283"/>
      <w:bookmarkStart w:id="88" w:name="_Toc465149294"/>
      <w:bookmarkStart w:id="89" w:name="_Toc9946"/>
      <w:bookmarkStart w:id="90" w:name="_Toc361325742"/>
      <w:bookmarkStart w:id="91" w:name="_Toc16870"/>
      <w:bookmarkStart w:id="92" w:name="_Toc24301"/>
      <w:bookmarkStart w:id="93" w:name="_Toc480453648"/>
      <w:bookmarkStart w:id="94" w:name="_Toc466391881"/>
      <w:bookmarkStart w:id="95" w:name="_Toc362988438"/>
      <w:bookmarkStart w:id="96" w:name="_Toc474502514"/>
      <w:bookmarkStart w:id="97" w:name="_Toc14301617"/>
      <w:bookmarkStart w:id="98" w:name="_Toc505261840"/>
      <w:bookmarkStart w:id="99" w:name="_Toc29183"/>
      <w:bookmarkStart w:id="100" w:name="_Toc361388550"/>
      <w:r>
        <w:rPr>
          <w:rFonts w:hint="eastAsia" w:ascii="仿宋_GB2312" w:hAnsi="仿宋_GB2312" w:eastAsia="仿宋_GB2312" w:cs="仿宋_GB2312"/>
          <w:b/>
          <w:bCs/>
          <w:color w:val="auto"/>
          <w:kern w:val="2"/>
          <w:sz w:val="24"/>
          <w:szCs w:val="24"/>
          <w:highlight w:val="none"/>
          <w:lang w:val="en-US" w:eastAsia="zh-CN" w:bidi="ar-SA"/>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2.1“比选人”系指本次比选活动的采购方。</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2.2“比选申请人”系指获取了比选文件拟参加比选活动和向比选人提供服务的律师事务所。</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01" w:name="_Toc183582207"/>
      <w:bookmarkStart w:id="102" w:name="_Toc217390843"/>
      <w:bookmarkStart w:id="103" w:name="_Toc183682344"/>
      <w:bookmarkStart w:id="104" w:name="_Toc217446036"/>
      <w:bookmarkStart w:id="105" w:name="_Toc14336243"/>
      <w:bookmarkStart w:id="106" w:name="_Toc513468979"/>
      <w:bookmarkStart w:id="107" w:name="_Toc505261841"/>
      <w:bookmarkStart w:id="108" w:name="_Toc30072"/>
      <w:bookmarkStart w:id="109" w:name="_Toc11316"/>
      <w:bookmarkStart w:id="110" w:name="_Toc23605"/>
      <w:bookmarkStart w:id="111" w:name="_Toc32609"/>
      <w:bookmarkStart w:id="112" w:name="_Toc469403730"/>
      <w:bookmarkStart w:id="113" w:name="_Toc2091"/>
      <w:bookmarkStart w:id="114" w:name="_Toc14301618"/>
      <w:bookmarkStart w:id="115" w:name="_Toc474326975"/>
      <w:bookmarkStart w:id="116" w:name="_Toc480453649"/>
      <w:bookmarkStart w:id="117" w:name="_Toc20749"/>
      <w:bookmarkStart w:id="118" w:name="_Toc474502515"/>
      <w:r>
        <w:rPr>
          <w:rFonts w:hint="eastAsia" w:ascii="仿宋_GB2312" w:hAnsi="仿宋_GB2312" w:eastAsia="仿宋_GB2312" w:cs="仿宋_GB2312"/>
          <w:b/>
          <w:bCs/>
          <w:color w:val="auto"/>
          <w:kern w:val="2"/>
          <w:sz w:val="24"/>
          <w:szCs w:val="24"/>
          <w:highlight w:val="none"/>
          <w:lang w:val="en-US" w:eastAsia="zh-CN" w:bidi="ar-SA"/>
        </w:rPr>
        <w:t>3.合格的</w:t>
      </w:r>
      <w:bookmarkEnd w:id="101"/>
      <w:bookmarkEnd w:id="102"/>
      <w:bookmarkEnd w:id="103"/>
      <w:bookmarkEnd w:id="104"/>
      <w:r>
        <w:rPr>
          <w:rFonts w:hint="eastAsia" w:ascii="仿宋_GB2312" w:hAnsi="仿宋_GB2312" w:eastAsia="仿宋_GB2312" w:cs="仿宋_GB2312"/>
          <w:b/>
          <w:bCs/>
          <w:color w:val="auto"/>
          <w:kern w:val="2"/>
          <w:sz w:val="24"/>
          <w:szCs w:val="24"/>
          <w:highlight w:val="none"/>
          <w:lang w:val="en-US" w:eastAsia="zh-CN" w:bidi="ar-SA"/>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460" w:lineRule="exact"/>
        <w:ind w:firstLine="480" w:firstLineChars="200"/>
        <w:rPr>
          <w:rFonts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z w:val="24"/>
          <w:highlight w:val="none"/>
        </w:rPr>
        <w:t>6.1 本比选文件规定的比选申请人的资格要求</w:t>
      </w:r>
      <w:r>
        <w:rPr>
          <w:rFonts w:hint="eastAsia" w:ascii="仿宋_GB2312" w:hAnsi="仿宋_GB2312" w:eastAsia="仿宋_GB2312" w:cs="仿宋_GB2312"/>
          <w:color w:val="auto"/>
          <w:spacing w:val="-4"/>
          <w:sz w:val="24"/>
          <w:highlight w:val="none"/>
        </w:rPr>
        <w:t>。</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遵守国家有关的</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、规章和其他政策制度。</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19" w:name="_Toc14336244"/>
      <w:bookmarkStart w:id="120" w:name="_Toc217446037"/>
      <w:bookmarkStart w:id="121" w:name="_Toc513468980"/>
      <w:bookmarkStart w:id="122" w:name="_Toc6617"/>
      <w:bookmarkStart w:id="123" w:name="_Toc460"/>
      <w:bookmarkStart w:id="124" w:name="_Toc474502516"/>
      <w:bookmarkStart w:id="125" w:name="_Toc10177"/>
      <w:bookmarkStart w:id="126" w:name="_Toc14301619"/>
      <w:bookmarkStart w:id="127" w:name="_Toc19314"/>
      <w:bookmarkStart w:id="128" w:name="_Toc31967"/>
      <w:bookmarkStart w:id="129" w:name="_Toc469403731"/>
      <w:bookmarkStart w:id="130" w:name="_Toc505261842"/>
      <w:bookmarkStart w:id="131" w:name="_Toc183682345"/>
      <w:bookmarkStart w:id="132" w:name="_Toc480453650"/>
      <w:bookmarkStart w:id="133" w:name="_Toc183582208"/>
      <w:bookmarkStart w:id="134" w:name="_Toc474326976"/>
      <w:bookmarkStart w:id="135" w:name="_Toc26743"/>
      <w:r>
        <w:rPr>
          <w:rFonts w:hint="eastAsia" w:ascii="仿宋_GB2312" w:hAnsi="仿宋_GB2312" w:eastAsia="仿宋_GB2312" w:cs="仿宋_GB2312"/>
          <w:b/>
          <w:bCs/>
          <w:color w:val="auto"/>
          <w:kern w:val="2"/>
          <w:sz w:val="24"/>
          <w:szCs w:val="24"/>
          <w:highlight w:val="none"/>
          <w:lang w:val="en-US" w:eastAsia="zh-CN" w:bidi="ar-SA"/>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比选申请人参加比选的有关费用由比选申请人自行承担。本次比选不组织答疑会和现场考察。</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36" w:name="_Toc504054389"/>
      <w:bookmarkStart w:id="137" w:name="_Toc504051941"/>
      <w:bookmarkStart w:id="138" w:name="_Toc504035834"/>
      <w:bookmarkStart w:id="139" w:name="_Toc29910"/>
      <w:bookmarkStart w:id="140" w:name="_Toc22778"/>
      <w:bookmarkStart w:id="141" w:name="_Toc17385"/>
      <w:bookmarkStart w:id="142" w:name="_Toc11322"/>
      <w:bookmarkStart w:id="143" w:name="_Toc504054565"/>
      <w:bookmarkStart w:id="144" w:name="_Toc2744"/>
      <w:bookmarkStart w:id="145" w:name="_Toc26717"/>
      <w:bookmarkStart w:id="146" w:name="_Toc14301620"/>
      <w:bookmarkStart w:id="147" w:name="_Toc32101"/>
      <w:bookmarkStart w:id="148" w:name="_Toc14336245"/>
      <w:bookmarkStart w:id="149" w:name="_Toc5426"/>
      <w:bookmarkStart w:id="150" w:name="_Toc4788"/>
      <w:r>
        <w:rPr>
          <w:rFonts w:hint="eastAsia" w:ascii="仿宋_GB2312" w:hAnsi="仿宋_GB2312" w:eastAsia="仿宋_GB2312" w:cs="仿宋_GB2312"/>
          <w:b/>
          <w:bCs/>
          <w:color w:val="auto"/>
          <w:kern w:val="2"/>
          <w:sz w:val="24"/>
          <w:szCs w:val="24"/>
          <w:highlight w:val="none"/>
          <w:lang w:val="en-US" w:eastAsia="zh-CN" w:bidi="ar-SA"/>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auto"/>
          <w:sz w:val="24"/>
          <w:highlight w:val="none"/>
          <w:lang w:val="en-US" w:eastAsia="zh-CN"/>
        </w:rPr>
        <w:t>通过报名邮箱以</w:t>
      </w:r>
      <w:r>
        <w:rPr>
          <w:rFonts w:hint="eastAsia" w:ascii="仿宋_GB2312" w:hAnsi="仿宋_GB2312" w:eastAsia="仿宋_GB2312" w:cs="仿宋_GB2312"/>
          <w:color w:val="auto"/>
          <w:sz w:val="24"/>
          <w:highlight w:val="none"/>
        </w:rPr>
        <w:t>书面形式通知所有接收比选文件的比选申请人，不足3个工作日的，应当顺延提交比选申请书截止之日。</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51" w:name="_Toc25286"/>
      <w:bookmarkStart w:id="152" w:name="_Toc504051945"/>
      <w:bookmarkStart w:id="153" w:name="_Toc27212"/>
      <w:bookmarkStart w:id="154" w:name="_Toc504035838"/>
      <w:bookmarkStart w:id="155" w:name="_Toc27771"/>
      <w:bookmarkStart w:id="156" w:name="_Toc6269"/>
      <w:bookmarkStart w:id="157" w:name="_Toc1599"/>
      <w:bookmarkStart w:id="158" w:name="_Toc14301622"/>
      <w:bookmarkStart w:id="159" w:name="_Toc18304"/>
      <w:bookmarkStart w:id="160" w:name="_Toc14336247"/>
      <w:bookmarkStart w:id="161" w:name="_Toc504054393"/>
      <w:bookmarkStart w:id="162" w:name="_Toc504054569"/>
      <w:bookmarkStart w:id="163" w:name="_Toc14543"/>
      <w:bookmarkStart w:id="164" w:name="_Toc2025"/>
      <w:bookmarkStart w:id="165" w:name="_Toc30557"/>
      <w:r>
        <w:rPr>
          <w:rFonts w:hint="eastAsia" w:ascii="仿宋_GB2312" w:hAnsi="仿宋_GB2312" w:eastAsia="仿宋_GB2312" w:cs="仿宋_GB2312"/>
          <w:b/>
          <w:bCs/>
          <w:color w:val="auto"/>
          <w:kern w:val="2"/>
          <w:sz w:val="24"/>
          <w:szCs w:val="24"/>
          <w:highlight w:val="none"/>
          <w:lang w:val="en-US" w:eastAsia="zh-CN" w:bidi="ar-SA"/>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auto"/>
          <w:kern w:val="2"/>
          <w:sz w:val="24"/>
          <w:szCs w:val="24"/>
          <w:highlight w:val="none"/>
          <w:lang w:val="en-US" w:eastAsia="zh-CN" w:bidi="ar-SA"/>
        </w:rPr>
        <w:t>（实质性要求）</w:t>
      </w:r>
    </w:p>
    <w:p>
      <w:pPr>
        <w:spacing w:line="460" w:lineRule="exact"/>
        <w:ind w:right="240" w:firstLine="480" w:firstLineChars="200"/>
        <w:rPr>
          <w:rFonts w:ascii="仿宋_GB2312" w:hAnsi="仿宋_GB2312" w:eastAsia="仿宋_GB2312" w:cs="仿宋_GB2312"/>
          <w:color w:val="auto"/>
          <w:sz w:val="24"/>
          <w:highlight w:val="none"/>
        </w:rPr>
      </w:pPr>
      <w:bookmarkStart w:id="166" w:name="_Toc14336248"/>
      <w:bookmarkStart w:id="167" w:name="_Toc14301623"/>
      <w:r>
        <w:rPr>
          <w:rFonts w:hint="eastAsia" w:ascii="仿宋_GB2312" w:hAnsi="仿宋_GB2312" w:eastAsia="仿宋_GB2312" w:cs="仿宋_GB2312"/>
          <w:color w:val="auto"/>
          <w:sz w:val="24"/>
          <w:highlight w:val="none"/>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翻译的简体中文资料与外文资料如果出现差异和矛盾，以简体中文版本为准。</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68" w:name="_Toc17939"/>
      <w:bookmarkStart w:id="169" w:name="_Toc12988"/>
      <w:bookmarkStart w:id="170" w:name="_Toc20396"/>
      <w:bookmarkStart w:id="171" w:name="_Toc5449"/>
      <w:r>
        <w:rPr>
          <w:rFonts w:hint="eastAsia" w:ascii="仿宋_GB2312" w:hAnsi="仿宋_GB2312" w:eastAsia="仿宋_GB2312" w:cs="仿宋_GB2312"/>
          <w:b/>
          <w:bCs/>
          <w:color w:val="auto"/>
          <w:kern w:val="2"/>
          <w:sz w:val="24"/>
          <w:szCs w:val="24"/>
          <w:highlight w:val="none"/>
          <w:lang w:val="en-US" w:eastAsia="zh-CN" w:bidi="ar-SA"/>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auto"/>
          <w:kern w:val="2"/>
          <w:sz w:val="24"/>
          <w:szCs w:val="24"/>
          <w:highlight w:val="none"/>
          <w:lang w:val="en-US" w:eastAsia="zh-CN" w:bidi="ar-SA"/>
        </w:rPr>
        <w:t>（实质性要求）</w:t>
      </w:r>
    </w:p>
    <w:p>
      <w:pPr>
        <w:spacing w:line="460" w:lineRule="exact"/>
        <w:ind w:right="240" w:firstLine="480" w:firstLineChars="200"/>
        <w:rPr>
          <w:rFonts w:ascii="仿宋_GB2312" w:hAnsi="仿宋_GB2312" w:eastAsia="仿宋_GB2312" w:cs="仿宋_GB2312"/>
          <w:color w:val="auto"/>
          <w:sz w:val="24"/>
          <w:highlight w:val="none"/>
        </w:rPr>
      </w:pPr>
      <w:bookmarkStart w:id="172" w:name="_Toc19337"/>
      <w:bookmarkStart w:id="173" w:name="_Toc14301624"/>
      <w:bookmarkStart w:id="174" w:name="_Toc14205"/>
      <w:bookmarkStart w:id="175" w:name="_Toc1582"/>
      <w:bookmarkStart w:id="176" w:name="_Toc14336249"/>
      <w:bookmarkStart w:id="177" w:name="_Toc11001"/>
      <w:r>
        <w:rPr>
          <w:rFonts w:hint="eastAsia" w:ascii="仿宋_GB2312" w:hAnsi="仿宋_GB2312" w:eastAsia="仿宋_GB2312" w:cs="仿宋_GB2312"/>
          <w:color w:val="auto"/>
          <w:sz w:val="24"/>
          <w:highlight w:val="none"/>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6.</w:t>
      </w:r>
      <w:bookmarkStart w:id="178" w:name="_Toc466391896"/>
      <w:bookmarkStart w:id="179" w:name="_Toc183682355"/>
      <w:bookmarkStart w:id="180" w:name="_Toc361388565"/>
      <w:bookmarkStart w:id="181" w:name="_Toc362988453"/>
      <w:bookmarkStart w:id="182" w:name="_Toc474502529"/>
      <w:bookmarkStart w:id="183" w:name="_Toc474326989"/>
      <w:bookmarkStart w:id="184" w:name="_Toc24845"/>
      <w:bookmarkStart w:id="185" w:name="_Toc480453663"/>
      <w:bookmarkStart w:id="186" w:name="_Toc361325757"/>
      <w:bookmarkStart w:id="187" w:name="_Toc465149309"/>
      <w:bookmarkStart w:id="188" w:name="_Toc513468993"/>
      <w:bookmarkStart w:id="189" w:name="_Toc183582218"/>
      <w:bookmarkStart w:id="190" w:name="_Toc217446049"/>
      <w:bookmarkStart w:id="191" w:name="_Toc505261855"/>
      <w:bookmarkStart w:id="192" w:name="_Toc444620298"/>
      <w:bookmarkStart w:id="193" w:name="_Toc9395"/>
      <w:r>
        <w:rPr>
          <w:rFonts w:hint="eastAsia" w:ascii="仿宋_GB2312" w:hAnsi="仿宋_GB2312" w:eastAsia="仿宋_GB2312" w:cs="仿宋_GB2312"/>
          <w:b/>
          <w:bCs/>
          <w:color w:val="auto"/>
          <w:kern w:val="2"/>
          <w:sz w:val="24"/>
          <w:szCs w:val="24"/>
          <w:highlight w:val="none"/>
          <w:lang w:val="en-US" w:eastAsia="zh-CN" w:bidi="ar-SA"/>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auto"/>
          <w:kern w:val="2"/>
          <w:sz w:val="24"/>
          <w:szCs w:val="24"/>
          <w:highlight w:val="none"/>
          <w:lang w:val="en-US" w:eastAsia="zh-CN" w:bidi="ar-SA"/>
        </w:rPr>
        <w:tab/>
      </w:r>
    </w:p>
    <w:p>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比选申请人应执行比选文件第四章的规定要求，对于没有格式要求的部分由比选申请人自行编写。</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94" w:name="_Toc29834"/>
      <w:bookmarkStart w:id="195" w:name="_Toc17700"/>
      <w:bookmarkStart w:id="196" w:name="_Toc217446051"/>
      <w:bookmarkStart w:id="197" w:name="_Toc505261857"/>
      <w:bookmarkStart w:id="198" w:name="_Toc480453665"/>
      <w:bookmarkStart w:id="199" w:name="_Toc474502531"/>
      <w:bookmarkStart w:id="200" w:name="_Toc474326991"/>
      <w:bookmarkStart w:id="201" w:name="_Toc14336250"/>
      <w:bookmarkStart w:id="202" w:name="_Toc513468995"/>
      <w:bookmarkStart w:id="203" w:name="_Toc6382"/>
      <w:bookmarkStart w:id="204" w:name="_Toc469403746"/>
      <w:bookmarkStart w:id="205" w:name="_Toc308164801"/>
      <w:bookmarkStart w:id="206" w:name="_Toc25148"/>
      <w:bookmarkStart w:id="207" w:name="_Toc183682361"/>
      <w:bookmarkStart w:id="208" w:name="_Toc14301625"/>
      <w:bookmarkStart w:id="209" w:name="_Toc183582224"/>
      <w:bookmarkStart w:id="210" w:name="_Toc26194"/>
      <w:bookmarkStart w:id="211" w:name="_Toc18346"/>
      <w:r>
        <w:rPr>
          <w:rFonts w:hint="eastAsia" w:ascii="仿宋_GB2312" w:hAnsi="仿宋_GB2312" w:eastAsia="仿宋_GB2312" w:cs="仿宋_GB2312"/>
          <w:b/>
          <w:bCs/>
          <w:color w:val="auto"/>
          <w:kern w:val="2"/>
          <w:sz w:val="24"/>
          <w:szCs w:val="24"/>
          <w:highlight w:val="none"/>
          <w:lang w:val="en-US" w:eastAsia="zh-CN" w:bidi="ar-SA"/>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auto"/>
          <w:kern w:val="2"/>
          <w:sz w:val="24"/>
          <w:szCs w:val="24"/>
          <w:highlight w:val="none"/>
          <w:lang w:val="en-US" w:eastAsia="zh-CN" w:bidi="ar-SA"/>
        </w:rPr>
        <w:t>（实质性要求）</w:t>
      </w:r>
    </w:p>
    <w:p>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本项目比选有效期为比选申请书递交截止时间届满后</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天。比选申请人在比选申请书中必须载明比选有效期，比选申请书中载明的比选有效期可以长于比选文件规定的期限，但不得短于比选文件规定的期限。否则，其比选申请书将作为无效处理。</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12" w:name="_Toc183582227"/>
      <w:bookmarkStart w:id="213" w:name="_Toc183682364"/>
      <w:bookmarkStart w:id="214" w:name="_Toc14301626"/>
      <w:bookmarkStart w:id="215" w:name="_Toc469403749"/>
      <w:bookmarkStart w:id="216" w:name="_Toc505261860"/>
      <w:bookmarkStart w:id="217" w:name="_Toc474502534"/>
      <w:bookmarkStart w:id="218" w:name="_Toc11976"/>
      <w:bookmarkStart w:id="219" w:name="_Toc217446054"/>
      <w:bookmarkStart w:id="220" w:name="_Toc28318"/>
      <w:bookmarkStart w:id="221" w:name="_Toc18366"/>
      <w:bookmarkStart w:id="222" w:name="_Toc4735"/>
      <w:bookmarkStart w:id="223" w:name="_Toc480453668"/>
      <w:bookmarkStart w:id="224" w:name="_Toc11118"/>
      <w:bookmarkStart w:id="225" w:name="_Toc474326994"/>
      <w:bookmarkStart w:id="226" w:name="_Toc31719"/>
      <w:bookmarkStart w:id="227" w:name="_Toc308164804"/>
      <w:bookmarkStart w:id="228" w:name="_Toc14336251"/>
      <w:bookmarkStart w:id="229" w:name="_Toc513468998"/>
      <w:r>
        <w:rPr>
          <w:rFonts w:hint="eastAsia" w:ascii="仿宋_GB2312" w:hAnsi="仿宋_GB2312" w:eastAsia="仿宋_GB2312" w:cs="仿宋_GB2312"/>
          <w:b/>
          <w:bCs/>
          <w:color w:val="auto"/>
          <w:kern w:val="2"/>
          <w:sz w:val="24"/>
          <w:szCs w:val="24"/>
          <w:highlight w:val="none"/>
          <w:lang w:val="en-US" w:eastAsia="zh-CN" w:bidi="ar-SA"/>
        </w:rPr>
        <w:t>8.比选申请书的</w:t>
      </w:r>
      <w:bookmarkEnd w:id="212"/>
      <w:bookmarkEnd w:id="213"/>
      <w:r>
        <w:rPr>
          <w:rFonts w:hint="eastAsia" w:ascii="仿宋_GB2312" w:hAnsi="仿宋_GB2312" w:eastAsia="仿宋_GB2312" w:cs="仿宋_GB2312"/>
          <w:b/>
          <w:bCs/>
          <w:color w:val="auto"/>
          <w:kern w:val="2"/>
          <w:sz w:val="24"/>
          <w:szCs w:val="24"/>
          <w:highlight w:val="none"/>
          <w:lang w:val="en-US" w:eastAsia="zh-CN" w:bidi="ar-SA"/>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30" w:name="_Toc183682365"/>
      <w:bookmarkStart w:id="231" w:name="_Toc183582228"/>
      <w:bookmarkStart w:id="232" w:name="_Toc480453669"/>
      <w:bookmarkStart w:id="233" w:name="_Toc14336252"/>
      <w:bookmarkStart w:id="234" w:name="_Toc474502535"/>
      <w:bookmarkStart w:id="235" w:name="_Toc1663"/>
      <w:bookmarkStart w:id="236" w:name="_Toc9560"/>
      <w:bookmarkStart w:id="237" w:name="_Toc32552"/>
      <w:bookmarkStart w:id="238" w:name="_Toc513468999"/>
      <w:bookmarkStart w:id="239" w:name="_Toc469403750"/>
      <w:bookmarkStart w:id="240" w:name="_Toc474326995"/>
      <w:bookmarkStart w:id="241" w:name="_Toc3621"/>
      <w:bookmarkStart w:id="242" w:name="_Toc217446055"/>
      <w:bookmarkStart w:id="243" w:name="_Toc505261861"/>
      <w:bookmarkStart w:id="244" w:name="_Toc14301627"/>
      <w:bookmarkStart w:id="245" w:name="_Toc7462"/>
      <w:bookmarkStart w:id="246" w:name="_Toc3240"/>
      <w:r>
        <w:rPr>
          <w:rFonts w:hint="eastAsia" w:ascii="仿宋_GB2312" w:hAnsi="仿宋_GB2312" w:eastAsia="仿宋_GB2312" w:cs="仿宋_GB2312"/>
          <w:b/>
          <w:bCs/>
          <w:color w:val="auto"/>
          <w:kern w:val="2"/>
          <w:sz w:val="24"/>
          <w:szCs w:val="24"/>
          <w:highlight w:val="none"/>
          <w:lang w:val="en-US" w:eastAsia="zh-CN" w:bidi="ar-SA"/>
        </w:rPr>
        <w:t>9.比选申请书的修改和撤</w:t>
      </w:r>
      <w:bookmarkEnd w:id="230"/>
      <w:bookmarkEnd w:id="231"/>
      <w:r>
        <w:rPr>
          <w:rFonts w:hint="eastAsia" w:ascii="仿宋_GB2312" w:hAnsi="仿宋_GB2312" w:eastAsia="仿宋_GB2312" w:cs="仿宋_GB2312"/>
          <w:b/>
          <w:bCs/>
          <w:color w:val="auto"/>
          <w:kern w:val="2"/>
          <w:sz w:val="24"/>
          <w:szCs w:val="24"/>
          <w:highlight w:val="none"/>
          <w:lang w:val="en-US" w:eastAsia="zh-CN" w:bidi="ar-SA"/>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 比选申请人在递交了比选申请书后，可以修改或撤回其比选申请书，但必须在规定的递交比选文件截止时间前，以书面形式通知比选人。</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9.2在比选申请书递交截止时间之后，比选申请人不得对其递交的比选申请书做任何修改及撤回。</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47" w:name="_Toc14301628"/>
      <w:bookmarkStart w:id="248" w:name="_Toc14336253"/>
      <w:bookmarkStart w:id="249" w:name="_Toc474327001"/>
      <w:bookmarkStart w:id="250" w:name="_Toc27592"/>
      <w:bookmarkStart w:id="251" w:name="_Toc480453675"/>
      <w:bookmarkStart w:id="252" w:name="_Toc469403753"/>
      <w:bookmarkStart w:id="253" w:name="_Toc505261867"/>
      <w:bookmarkStart w:id="254" w:name="_Toc8913"/>
      <w:bookmarkStart w:id="255" w:name="_Toc474502541"/>
      <w:bookmarkStart w:id="256" w:name="_Toc513469005"/>
      <w:bookmarkStart w:id="257" w:name="_Toc25628"/>
      <w:bookmarkStart w:id="258" w:name="_Toc29745"/>
      <w:bookmarkStart w:id="259" w:name="_Toc21815"/>
      <w:bookmarkStart w:id="260" w:name="_Toc10432"/>
      <w:r>
        <w:rPr>
          <w:rFonts w:hint="eastAsia" w:ascii="仿宋_GB2312" w:hAnsi="仿宋_GB2312" w:eastAsia="仿宋_GB2312" w:cs="仿宋_GB2312"/>
          <w:b/>
          <w:bCs/>
          <w:color w:val="auto"/>
          <w:kern w:val="2"/>
          <w:sz w:val="24"/>
          <w:szCs w:val="24"/>
          <w:highlight w:val="none"/>
          <w:lang w:val="en-US" w:eastAsia="zh-CN" w:bidi="ar-SA"/>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auto"/>
          <w:kern w:val="2"/>
          <w:sz w:val="24"/>
          <w:szCs w:val="24"/>
          <w:highlight w:val="none"/>
          <w:lang w:val="en-US" w:eastAsia="zh-CN" w:bidi="ar-SA"/>
        </w:rPr>
        <w:t>中选通知书</w:t>
      </w:r>
      <w:bookmarkEnd w:id="257"/>
      <w:bookmarkEnd w:id="258"/>
      <w:bookmarkEnd w:id="259"/>
      <w:bookmarkEnd w:id="260"/>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比选人对确定的中选人发放中选通知书，未中选人不另发通知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中选通知书为签订合同的依据之一，是合同的有效组成部分。</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61" w:name="_Toc308164811"/>
      <w:bookmarkStart w:id="262" w:name="_Toc16953"/>
      <w:bookmarkStart w:id="263" w:name="_Toc474327003"/>
      <w:bookmarkStart w:id="264" w:name="_Toc474502543"/>
      <w:bookmarkStart w:id="265" w:name="_Toc14336254"/>
      <w:bookmarkStart w:id="266" w:name="_Toc17978"/>
      <w:bookmarkStart w:id="267" w:name="_Toc8200"/>
      <w:bookmarkStart w:id="268" w:name="_Toc14301629"/>
      <w:bookmarkStart w:id="269" w:name="_Toc32005"/>
      <w:bookmarkStart w:id="270" w:name="_Toc22962"/>
      <w:bookmarkStart w:id="271" w:name="_Toc469403755"/>
      <w:bookmarkStart w:id="272" w:name="_Toc505261869"/>
      <w:bookmarkStart w:id="273" w:name="_Toc30793"/>
      <w:bookmarkStart w:id="274" w:name="_Toc217446065"/>
      <w:bookmarkStart w:id="275" w:name="_Toc480453677"/>
      <w:bookmarkStart w:id="276" w:name="_Toc513469007"/>
      <w:r>
        <w:rPr>
          <w:rFonts w:hint="eastAsia" w:ascii="仿宋_GB2312" w:hAnsi="仿宋_GB2312" w:eastAsia="仿宋_GB2312" w:cs="仿宋_GB2312"/>
          <w:b/>
          <w:bCs/>
          <w:color w:val="auto"/>
          <w:kern w:val="2"/>
          <w:sz w:val="24"/>
          <w:szCs w:val="24"/>
          <w:highlight w:val="none"/>
          <w:lang w:val="en-US" w:eastAsia="zh-CN" w:bidi="ar-SA"/>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中选人应在中选通知书发出之日起30日内与比选人签订合同，中选人无故不签订合同或放弃中选的，比选人可以与排在中选人之后第一位的中选候选人签订合同，以此类推。</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77" w:name="_Toc14301630"/>
      <w:bookmarkStart w:id="278" w:name="_Toc9244"/>
      <w:bookmarkStart w:id="279" w:name="_Toc480453678"/>
      <w:bookmarkStart w:id="280" w:name="_Toc23832"/>
      <w:bookmarkStart w:id="281" w:name="_Toc28310"/>
      <w:bookmarkStart w:id="282" w:name="_Toc513469008"/>
      <w:bookmarkStart w:id="283" w:name="_Toc16727"/>
      <w:bookmarkStart w:id="284" w:name="_Toc469403756"/>
      <w:bookmarkStart w:id="285" w:name="_Toc14336255"/>
      <w:bookmarkStart w:id="286" w:name="_Toc474502544"/>
      <w:bookmarkStart w:id="287" w:name="_Toc820"/>
      <w:bookmarkStart w:id="288" w:name="_Toc474327004"/>
      <w:bookmarkStart w:id="289" w:name="_Toc18127"/>
      <w:bookmarkStart w:id="290" w:name="_Toc505261870"/>
      <w:r>
        <w:rPr>
          <w:rFonts w:hint="eastAsia" w:ascii="仿宋_GB2312" w:hAnsi="仿宋_GB2312" w:eastAsia="仿宋_GB2312" w:cs="仿宋_GB2312"/>
          <w:b/>
          <w:bCs/>
          <w:color w:val="auto"/>
          <w:kern w:val="2"/>
          <w:sz w:val="24"/>
          <w:szCs w:val="24"/>
          <w:highlight w:val="none"/>
          <w:lang w:val="en-US" w:eastAsia="zh-CN" w:bidi="ar-SA"/>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auto"/>
          <w:kern w:val="2"/>
          <w:sz w:val="24"/>
          <w:szCs w:val="24"/>
          <w:highlight w:val="none"/>
          <w:lang w:val="en-US" w:eastAsia="zh-CN" w:bidi="ar-SA"/>
        </w:rPr>
        <w:t>（实质性要求）</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本项目不允许分包。</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91" w:name="_Toc480453679"/>
      <w:bookmarkStart w:id="292" w:name="_Toc26320"/>
      <w:bookmarkStart w:id="293" w:name="_Toc10585"/>
      <w:bookmarkStart w:id="294" w:name="_Toc469403757"/>
      <w:bookmarkStart w:id="295" w:name="_Toc10843"/>
      <w:bookmarkStart w:id="296" w:name="_Toc14666"/>
      <w:bookmarkStart w:id="297" w:name="_Toc513469009"/>
      <w:bookmarkStart w:id="298" w:name="_Toc22181"/>
      <w:bookmarkStart w:id="299" w:name="_Toc11503"/>
      <w:bookmarkStart w:id="300" w:name="_Toc505261871"/>
      <w:bookmarkStart w:id="301" w:name="_Toc474502545"/>
      <w:bookmarkStart w:id="302" w:name="_Toc14336256"/>
      <w:bookmarkStart w:id="303" w:name="_Toc14301631"/>
      <w:bookmarkStart w:id="304" w:name="_Toc474327005"/>
      <w:r>
        <w:rPr>
          <w:rFonts w:hint="eastAsia" w:ascii="仿宋_GB2312" w:hAnsi="仿宋_GB2312" w:eastAsia="仿宋_GB2312" w:cs="仿宋_GB2312"/>
          <w:b/>
          <w:bCs/>
          <w:color w:val="auto"/>
          <w:kern w:val="2"/>
          <w:sz w:val="24"/>
          <w:szCs w:val="24"/>
          <w:highlight w:val="none"/>
          <w:lang w:val="en-US" w:eastAsia="zh-CN" w:bidi="ar-SA"/>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auto"/>
          <w:kern w:val="2"/>
          <w:sz w:val="24"/>
          <w:szCs w:val="24"/>
          <w:highlight w:val="none"/>
          <w:lang w:val="en-US" w:eastAsia="zh-CN" w:bidi="ar-SA"/>
        </w:rPr>
        <w:t>（实质性要求）</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中选人转包的，视同拒绝履行采购合同义务，将依法追究法律责任。</w:t>
      </w:r>
    </w:p>
    <w:p>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305" w:name="_Toc505261872"/>
      <w:bookmarkStart w:id="306" w:name="_Toc469403758"/>
      <w:bookmarkStart w:id="307" w:name="_Toc412"/>
      <w:bookmarkStart w:id="308" w:name="_Toc474502546"/>
      <w:bookmarkStart w:id="309" w:name="_Toc2586"/>
      <w:bookmarkStart w:id="310" w:name="_Toc14336257"/>
      <w:bookmarkStart w:id="311" w:name="_Toc16676"/>
      <w:bookmarkStart w:id="312" w:name="_Toc7747"/>
      <w:bookmarkStart w:id="313" w:name="_Toc14301632"/>
      <w:bookmarkStart w:id="314" w:name="_Toc480453680"/>
      <w:bookmarkStart w:id="315" w:name="_Toc6848"/>
      <w:bookmarkStart w:id="316" w:name="_Toc22161"/>
      <w:bookmarkStart w:id="317" w:name="_Toc474327006"/>
      <w:bookmarkStart w:id="318" w:name="_Toc513469010"/>
      <w:r>
        <w:rPr>
          <w:rFonts w:hint="eastAsia" w:ascii="仿宋_GB2312" w:hAnsi="仿宋_GB2312" w:eastAsia="仿宋_GB2312" w:cs="仿宋_GB2312"/>
          <w:b/>
          <w:bCs/>
          <w:color w:val="auto"/>
          <w:kern w:val="2"/>
          <w:sz w:val="24"/>
          <w:szCs w:val="24"/>
          <w:highlight w:val="none"/>
          <w:lang w:val="en-US" w:eastAsia="zh-CN" w:bidi="ar-SA"/>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pPr>
        <w:rPr>
          <w:rFonts w:ascii="仿宋_GB2312" w:hAnsi="仿宋_GB2312" w:eastAsia="仿宋_GB2312" w:cs="仿宋_GB2312"/>
          <w:b/>
          <w:bCs/>
          <w:color w:val="auto"/>
          <w:sz w:val="32"/>
          <w:szCs w:val="32"/>
          <w:highlight w:val="none"/>
        </w:rPr>
      </w:pPr>
      <w:bookmarkStart w:id="319" w:name="_Toc24237"/>
      <w:bookmarkStart w:id="320" w:name="_Toc19085"/>
      <w:bookmarkStart w:id="321" w:name="_Toc17862"/>
      <w:bookmarkStart w:id="322" w:name="_Toc5478"/>
      <w:bookmarkStart w:id="323" w:name="_Toc31275"/>
      <w:bookmarkStart w:id="324" w:name="_Toc7013"/>
      <w:bookmarkStart w:id="325" w:name="_Toc21644"/>
      <w:bookmarkStart w:id="326" w:name="_Toc3622"/>
      <w:bookmarkStart w:id="327" w:name="_Toc21638"/>
      <w:bookmarkStart w:id="328" w:name="_Toc12575"/>
      <w:bookmarkStart w:id="329" w:name="_Toc16770"/>
      <w:r>
        <w:rPr>
          <w:rFonts w:hint="eastAsia" w:ascii="仿宋_GB2312" w:hAnsi="仿宋_GB2312" w:eastAsia="仿宋_GB2312" w:cs="仿宋_GB2312"/>
          <w:b/>
          <w:bCs/>
          <w:color w:val="auto"/>
          <w:sz w:val="32"/>
          <w:szCs w:val="32"/>
          <w:highlight w:val="none"/>
        </w:rPr>
        <w:br w:type="page"/>
      </w:r>
    </w:p>
    <w:p>
      <w:pPr>
        <w:spacing w:line="460" w:lineRule="exact"/>
        <w:ind w:firstLine="643"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一、依法在中华人民共和国境内设立</w:t>
      </w:r>
      <w:r>
        <w:rPr>
          <w:rFonts w:hint="eastAsia" w:ascii="仿宋_GB2312" w:hAnsi="仿宋_GB2312" w:eastAsia="仿宋_GB2312" w:cs="仿宋_GB2312"/>
          <w:color w:val="auto"/>
          <w:sz w:val="24"/>
          <w:highlight w:val="none"/>
          <w:lang w:val="en-US" w:eastAsia="zh-CN"/>
        </w:rPr>
        <w:t>五年</w:t>
      </w:r>
      <w:r>
        <w:rPr>
          <w:rFonts w:hint="eastAsia" w:ascii="仿宋_GB2312" w:hAnsi="仿宋_GB2312" w:eastAsia="仿宋_GB2312" w:cs="仿宋_GB2312"/>
          <w:color w:val="auto"/>
          <w:sz w:val="24"/>
          <w:highlight w:val="none"/>
        </w:rPr>
        <w:t>以上的律师事务所，持有合法有效律师事务所执业许可证，以及国家法律法规要求的相关从业资质；如分所或分支机构参加比选的，分所或分支机构须获得总所唯一授权；</w:t>
      </w:r>
    </w:p>
    <w:p>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color w:val="auto"/>
          <w:sz w:val="24"/>
          <w:highlight w:val="none"/>
        </w:rPr>
        <w:t>提供年检合格的律师事务所执业许可证，不具备执业许可证的组织机构，提供行政主管部门颁发的有效证书（证明文件），如法人登记证书等。</w:t>
      </w:r>
    </w:p>
    <w:p>
      <w:pPr>
        <w:spacing w:line="460" w:lineRule="exact"/>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证明材料2：</w:t>
      </w:r>
      <w:r>
        <w:rPr>
          <w:rFonts w:hint="eastAsia" w:ascii="仿宋_GB2312" w:hAnsi="仿宋_GB2312" w:eastAsia="仿宋_GB2312" w:cs="仿宋_GB2312"/>
          <w:color w:val="auto"/>
          <w:sz w:val="24"/>
          <w:highlight w:val="none"/>
        </w:rPr>
        <w:t>提供总所的业务许可证复印件，可以一次授权或总体授权，同一个事务所的多家分支机构不可同时参加比选。</w:t>
      </w:r>
    </w:p>
    <w:p>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二、人员要求：比选申请人需在四川省内具有常设机构，机构应拥有</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0名以上的注册专职律师；能够组建相对固定且不少于3人的律师顾问团队（不含实习律师、律师助理），比选申请人拟任的项目负责律师</w:t>
      </w:r>
      <w:r>
        <w:rPr>
          <w:rFonts w:hint="eastAsia" w:ascii="仿宋_GB2312" w:hAnsi="仿宋_GB2312" w:eastAsia="仿宋_GB2312" w:cs="仿宋_GB2312"/>
          <w:color w:val="auto"/>
          <w:sz w:val="24"/>
          <w:highlight w:val="none"/>
        </w:rPr>
        <w:t>具有10年以及10年以上执业经验</w:t>
      </w: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color w:val="auto"/>
          <w:sz w:val="24"/>
          <w:highlight w:val="none"/>
        </w:rPr>
        <w:t>团队其他律师应具有司法行政主管部门颁发的《律师执业证》，执业时间3年以上，合法有效且年检合格。</w:t>
      </w:r>
    </w:p>
    <w:p>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bCs/>
          <w:color w:val="auto"/>
          <w:sz w:val="24"/>
          <w:highlight w:val="none"/>
        </w:rPr>
        <w:t>提供证明文件。</w:t>
      </w:r>
    </w:p>
    <w:p>
      <w:pPr>
        <w:spacing w:line="460" w:lineRule="exact"/>
        <w:ind w:firstLine="482" w:firstLineChars="200"/>
        <w:rPr>
          <w:rFonts w:ascii="Calibri" w:hAnsi="Calibri"/>
          <w:color w:val="auto"/>
          <w:highlight w:val="none"/>
        </w:rPr>
      </w:pPr>
      <w:r>
        <w:rPr>
          <w:rFonts w:hint="eastAsia" w:ascii="仿宋_GB2312" w:hAnsi="仿宋_GB2312" w:eastAsia="仿宋_GB2312" w:cs="仿宋_GB2312"/>
          <w:b/>
          <w:color w:val="auto"/>
          <w:sz w:val="24"/>
          <w:highlight w:val="none"/>
        </w:rPr>
        <w:t>证明材料2：</w:t>
      </w:r>
      <w:r>
        <w:rPr>
          <w:rFonts w:hint="eastAsia" w:ascii="仿宋_GB2312" w:hAnsi="仿宋_GB2312" w:eastAsia="仿宋_GB2312" w:cs="仿宋_GB2312"/>
          <w:b w:val="0"/>
          <w:bCs/>
          <w:color w:val="auto"/>
          <w:sz w:val="24"/>
          <w:highlight w:val="none"/>
        </w:rPr>
        <w:t>提供</w:t>
      </w:r>
      <w:r>
        <w:rPr>
          <w:rFonts w:hint="eastAsia" w:ascii="仿宋_GB2312" w:hAnsi="仿宋_GB2312" w:eastAsia="仿宋_GB2312" w:cs="仿宋_GB2312"/>
          <w:bCs/>
          <w:color w:val="auto"/>
          <w:sz w:val="24"/>
          <w:highlight w:val="none"/>
        </w:rPr>
        <w:t>法律顾问团队的具体情况，包含团队负责人及主要成员的基本信息等。</w:t>
      </w:r>
    </w:p>
    <w:p>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三、信誉要求：</w:t>
      </w:r>
      <w:r>
        <w:rPr>
          <w:rFonts w:hint="eastAsia" w:ascii="仿宋_GB2312" w:hAnsi="仿宋_GB2312" w:eastAsia="仿宋_GB2312" w:cs="仿宋_GB2312"/>
          <w:color w:val="auto"/>
          <w:sz w:val="24"/>
          <w:highlight w:val="none"/>
        </w:rPr>
        <w:t>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和律师协会的行业处分，最近3年内提供的法律服务未因重大执业质量等问题受到省国资委的通报</w:t>
      </w:r>
      <w:r>
        <w:rPr>
          <w:rFonts w:hint="eastAsia" w:ascii="仿宋_GB2312" w:hAnsi="仿宋_GB2312" w:eastAsia="仿宋_GB2312" w:cs="仿宋_GB2312"/>
          <w:bCs/>
          <w:color w:val="auto"/>
          <w:sz w:val="24"/>
          <w:highlight w:val="none"/>
        </w:rPr>
        <w:t>；</w:t>
      </w:r>
    </w:p>
    <w:p>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bCs/>
          <w:color w:val="auto"/>
          <w:sz w:val="24"/>
          <w:highlight w:val="none"/>
        </w:rPr>
        <w:t>相关网站查询截图。</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四、财务要求：</w:t>
      </w:r>
      <w:r>
        <w:rPr>
          <w:rFonts w:hint="eastAsia" w:ascii="仿宋_GB2312" w:hAnsi="仿宋_GB2312" w:eastAsia="仿宋_GB2312" w:cs="仿宋_GB2312"/>
          <w:color w:val="auto"/>
          <w:sz w:val="24"/>
          <w:highlight w:val="none"/>
        </w:rPr>
        <w:t>财务状况良好，近年财务报表无亏损；</w:t>
      </w:r>
    </w:p>
    <w:p>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color w:val="auto"/>
          <w:sz w:val="24"/>
          <w:highlight w:val="none"/>
        </w:rPr>
        <w:t>提供最近年度经审计的年度财务审计报告。</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四</w:t>
      </w:r>
      <w:r>
        <w:rPr>
          <w:rFonts w:hint="eastAsia" w:ascii="仿宋_GB2312" w:hAnsi="仿宋_GB2312" w:eastAsia="仿宋_GB2312" w:cs="仿宋_GB2312"/>
          <w:color w:val="auto"/>
          <w:sz w:val="24"/>
          <w:highlight w:val="none"/>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pPr>
        <w:spacing w:line="460" w:lineRule="exact"/>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证明材料：</w:t>
      </w:r>
      <w:r>
        <w:rPr>
          <w:rFonts w:hint="eastAsia" w:ascii="仿宋_GB2312" w:hAnsi="仿宋_GB2312" w:eastAsia="仿宋_GB2312" w:cs="仿宋_GB2312"/>
          <w:color w:val="auto"/>
          <w:sz w:val="24"/>
          <w:highlight w:val="none"/>
        </w:rPr>
        <w:t>提供承诺函。</w:t>
      </w:r>
    </w:p>
    <w:p>
      <w:pPr>
        <w:keepNext/>
        <w:keepLines/>
        <w:widowControl w:val="0"/>
        <w:ind w:firstLine="880"/>
        <w:jc w:val="both"/>
        <w:outlineLvl w:val="3"/>
        <w:rPr>
          <w:rFonts w:ascii="Times New Roman" w:hAnsi="Times New Roman" w:eastAsia="宋体" w:cs="Times New Roman"/>
          <w:color w:val="auto"/>
          <w:kern w:val="2"/>
          <w:sz w:val="21"/>
          <w:szCs w:val="24"/>
          <w:highlight w:val="none"/>
          <w:lang w:val="en-US" w:eastAsia="zh-CN" w:bidi="ar-SA"/>
        </w:rPr>
      </w:pPr>
      <w:bookmarkStart w:id="330" w:name="_Toc25368"/>
      <w:bookmarkStart w:id="331" w:name="_Toc31452"/>
    </w:p>
    <w:p>
      <w:pPr>
        <w:rPr>
          <w:rFonts w:ascii="仿宋_GB2312" w:hAnsi="仿宋_GB2312" w:eastAsia="仿宋_GB2312" w:cs="仿宋_GB2312"/>
          <w:color w:val="auto"/>
          <w:sz w:val="24"/>
          <w:highlight w:val="none"/>
        </w:rPr>
        <w:sectPr>
          <w:pgSz w:w="11906" w:h="16838"/>
          <w:pgMar w:top="1440" w:right="1800" w:bottom="1440" w:left="1800" w:header="851" w:footer="992" w:gutter="0"/>
          <w:pgNumType w:fmt="decimal"/>
          <w:cols w:space="720" w:num="1"/>
          <w:docGrid w:type="lines" w:linePitch="312" w:charSpace="0"/>
        </w:sectPr>
      </w:pPr>
    </w:p>
    <w:p>
      <w:pPr>
        <w:spacing w:after="156" w:afterLines="50" w:line="460" w:lineRule="exact"/>
        <w:jc w:val="center"/>
        <w:rPr>
          <w:rFonts w:ascii="仿宋_GB2312" w:hAnsi="仿宋_GB2312" w:eastAsia="仿宋_GB2312" w:cs="仿宋_GB2312"/>
          <w:b/>
          <w:bCs/>
          <w:color w:val="auto"/>
          <w:sz w:val="32"/>
          <w:szCs w:val="32"/>
          <w:highlight w:val="none"/>
        </w:rPr>
      </w:pPr>
      <w:bookmarkStart w:id="332" w:name="_Toc2113"/>
      <w:bookmarkStart w:id="333" w:name="_Toc2868"/>
      <w:bookmarkStart w:id="334" w:name="_Toc6072"/>
      <w:bookmarkStart w:id="335" w:name="_Toc9510"/>
      <w:bookmarkStart w:id="336" w:name="_Toc11356"/>
      <w:bookmarkStart w:id="337" w:name="_Toc26622"/>
      <w:bookmarkStart w:id="338" w:name="_Toc302"/>
      <w:bookmarkStart w:id="339" w:name="_Toc22600"/>
      <w:bookmarkStart w:id="340" w:name="_Toc27539"/>
      <w:bookmarkStart w:id="341" w:name="_Toc21489"/>
      <w:r>
        <w:rPr>
          <w:rFonts w:hint="eastAsia" w:ascii="仿宋_GB2312" w:hAnsi="仿宋_GB2312" w:eastAsia="仿宋_GB2312" w:cs="仿宋_GB2312"/>
          <w:b/>
          <w:bCs/>
          <w:color w:val="auto"/>
          <w:sz w:val="32"/>
          <w:szCs w:val="32"/>
          <w:highlight w:val="none"/>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pPr>
        <w:spacing w:line="46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比选申请人在制作比选申请书时可参考本章所附格式。</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比选申请书应按规定签署、盖章。</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本章所附格式大小只是范例，比选申请人可根据自己的实际情况进行调整。</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bookmarkStart w:id="342" w:name="_Toc22771"/>
      <w:bookmarkStart w:id="343" w:name="_Toc5206"/>
      <w:bookmarkStart w:id="344" w:name="_Toc11259"/>
      <w:bookmarkStart w:id="345" w:name="_Toc7986"/>
      <w:bookmarkStart w:id="346" w:name="_Toc24031"/>
      <w:r>
        <w:rPr>
          <w:rFonts w:hint="eastAsia" w:ascii="仿宋_GB2312" w:hAnsi="仿宋_GB2312" w:eastAsia="仿宋_GB2312" w:cs="仿宋_GB2312"/>
          <w:b/>
          <w:bCs/>
          <w:color w:val="auto"/>
          <w:sz w:val="30"/>
          <w:szCs w:val="30"/>
          <w:highlight w:val="none"/>
        </w:rPr>
        <w:t>一、比选申请书封面</w:t>
      </w:r>
      <w:bookmarkEnd w:id="342"/>
      <w:bookmarkEnd w:id="343"/>
      <w:bookmarkEnd w:id="344"/>
      <w:bookmarkEnd w:id="345"/>
      <w:bookmarkEnd w:id="346"/>
    </w:p>
    <w:p>
      <w:pPr>
        <w:spacing w:line="460" w:lineRule="exact"/>
        <w:jc w:val="center"/>
        <w:rPr>
          <w:rFonts w:ascii="仿宋_GB2312" w:hAnsi="仿宋_GB2312" w:eastAsia="仿宋_GB2312" w:cs="仿宋_GB2312"/>
          <w:b/>
          <w:color w:val="auto"/>
          <w:sz w:val="24"/>
          <w:highlight w:val="none"/>
        </w:rPr>
      </w:pPr>
    </w:p>
    <w:p>
      <w:pPr>
        <w:spacing w:line="460" w:lineRule="exact"/>
        <w:jc w:val="center"/>
        <w:rPr>
          <w:rFonts w:ascii="仿宋_GB2312" w:hAnsi="仿宋_GB2312" w:eastAsia="仿宋_GB2312" w:cs="仿宋_GB2312"/>
          <w:b/>
          <w:color w:val="auto"/>
          <w:sz w:val="30"/>
          <w:szCs w:val="30"/>
          <w:highlight w:val="none"/>
          <w:u w:val="single"/>
        </w:rPr>
      </w:pPr>
      <w:r>
        <w:rPr>
          <w:rFonts w:hint="eastAsia" w:ascii="仿宋_GB2312" w:hAnsi="仿宋_GB2312" w:eastAsia="仿宋_GB2312" w:cs="仿宋_GB2312"/>
          <w:b/>
          <w:color w:val="auto"/>
          <w:sz w:val="30"/>
          <w:szCs w:val="30"/>
          <w:highlight w:val="none"/>
          <w:u w:val="single"/>
          <w:lang w:val="en-US" w:eastAsia="zh-CN"/>
        </w:rPr>
        <w:t>蜀道物流（香港）</w:t>
      </w:r>
      <w:r>
        <w:rPr>
          <w:rFonts w:hint="eastAsia" w:ascii="仿宋_GB2312" w:hAnsi="仿宋_GB2312" w:eastAsia="仿宋_GB2312" w:cs="仿宋_GB2312"/>
          <w:b/>
          <w:color w:val="auto"/>
          <w:sz w:val="30"/>
          <w:szCs w:val="30"/>
          <w:highlight w:val="none"/>
          <w:u w:val="single"/>
        </w:rPr>
        <w:t>有限公司</w:t>
      </w:r>
    </w:p>
    <w:p>
      <w:pPr>
        <w:spacing w:line="46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0"/>
          <w:szCs w:val="30"/>
          <w:highlight w:val="none"/>
          <w:u w:val="single"/>
          <w:lang w:eastAsia="zh-CN"/>
        </w:rPr>
        <w:t>2024年度常年法律</w:t>
      </w:r>
      <w:r>
        <w:rPr>
          <w:rFonts w:hint="eastAsia" w:ascii="仿宋_GB2312" w:hAnsi="仿宋_GB2312" w:eastAsia="仿宋_GB2312" w:cs="仿宋_GB2312"/>
          <w:b/>
          <w:color w:val="auto"/>
          <w:sz w:val="30"/>
          <w:szCs w:val="30"/>
          <w:highlight w:val="none"/>
          <w:u w:val="single"/>
        </w:rPr>
        <w:t>顾问服务单位选聘项目</w:t>
      </w:r>
      <w:r>
        <w:rPr>
          <w:rFonts w:hint="eastAsia" w:ascii="仿宋_GB2312" w:hAnsi="仿宋_GB2312" w:eastAsia="仿宋_GB2312" w:cs="仿宋_GB2312"/>
          <w:b/>
          <w:color w:val="auto"/>
          <w:sz w:val="30"/>
          <w:szCs w:val="30"/>
          <w:highlight w:val="none"/>
        </w:rPr>
        <w:t>公开比选</w:t>
      </w:r>
    </w:p>
    <w:p>
      <w:pPr>
        <w:spacing w:line="460" w:lineRule="exact"/>
        <w:jc w:val="left"/>
        <w:rPr>
          <w:rFonts w:ascii="仿宋_GB2312" w:hAnsi="仿宋_GB2312" w:eastAsia="仿宋_GB2312" w:cs="仿宋_GB2312"/>
          <w:b/>
          <w:color w:val="auto"/>
          <w:sz w:val="24"/>
          <w:highlight w:val="none"/>
        </w:rPr>
      </w:pPr>
    </w:p>
    <w:p>
      <w:pPr>
        <w:spacing w:line="460" w:lineRule="exact"/>
        <w:jc w:val="left"/>
        <w:rPr>
          <w:rFonts w:ascii="仿宋_GB2312" w:hAnsi="仿宋_GB2312" w:eastAsia="仿宋_GB2312" w:cs="仿宋_GB2312"/>
          <w:b/>
          <w:color w:val="auto"/>
          <w:sz w:val="24"/>
          <w:highlight w:val="none"/>
        </w:rPr>
      </w:pPr>
    </w:p>
    <w:p>
      <w:pPr>
        <w:spacing w:line="460" w:lineRule="exact"/>
        <w:jc w:val="left"/>
        <w:rPr>
          <w:rFonts w:ascii="仿宋_GB2312" w:hAnsi="仿宋_GB2312" w:eastAsia="仿宋_GB2312" w:cs="仿宋_GB2312"/>
          <w:b/>
          <w:color w:val="auto"/>
          <w:sz w:val="24"/>
          <w:highlight w:val="none"/>
        </w:rPr>
      </w:pPr>
    </w:p>
    <w:p>
      <w:pPr>
        <w:spacing w:line="460" w:lineRule="exact"/>
        <w:jc w:val="left"/>
        <w:rPr>
          <w:rFonts w:ascii="仿宋_GB2312" w:hAnsi="仿宋_GB2312" w:eastAsia="仿宋_GB2312" w:cs="仿宋_GB2312"/>
          <w:b/>
          <w:color w:val="auto"/>
          <w:sz w:val="24"/>
          <w:highlight w:val="none"/>
        </w:rPr>
      </w:pPr>
    </w:p>
    <w:p>
      <w:pPr>
        <w:spacing w:line="460" w:lineRule="exact"/>
        <w:jc w:val="left"/>
        <w:rPr>
          <w:rFonts w:ascii="仿宋_GB2312" w:hAnsi="仿宋_GB2312" w:eastAsia="仿宋_GB2312" w:cs="仿宋_GB2312"/>
          <w:b/>
          <w:color w:val="auto"/>
          <w:sz w:val="24"/>
          <w:highlight w:val="none"/>
        </w:rPr>
      </w:pPr>
    </w:p>
    <w:p>
      <w:pPr>
        <w:spacing w:line="460" w:lineRule="exact"/>
        <w:jc w:val="center"/>
        <w:rPr>
          <w:rFonts w:ascii="仿宋_GB2312" w:hAnsi="仿宋_GB2312" w:eastAsia="仿宋_GB2312" w:cs="仿宋_GB2312"/>
          <w:b/>
          <w:color w:val="auto"/>
          <w:sz w:val="30"/>
          <w:szCs w:val="30"/>
          <w:highlight w:val="none"/>
        </w:rPr>
      </w:pPr>
      <w:bookmarkStart w:id="347" w:name="_Toc29810"/>
      <w:r>
        <w:rPr>
          <w:rFonts w:hint="eastAsia" w:ascii="仿宋_GB2312" w:hAnsi="仿宋_GB2312" w:eastAsia="仿宋_GB2312" w:cs="仿宋_GB2312"/>
          <w:b/>
          <w:color w:val="auto"/>
          <w:sz w:val="30"/>
          <w:szCs w:val="30"/>
          <w:highlight w:val="none"/>
        </w:rPr>
        <w:t>比选申请书</w:t>
      </w:r>
      <w:bookmarkEnd w:id="347"/>
    </w:p>
    <w:p>
      <w:pPr>
        <w:spacing w:line="460" w:lineRule="exact"/>
        <w:rPr>
          <w:rFonts w:ascii="仿宋_GB2312" w:hAnsi="仿宋_GB2312" w:eastAsia="仿宋_GB2312" w:cs="仿宋_GB2312"/>
          <w:b/>
          <w:color w:val="auto"/>
          <w:sz w:val="30"/>
          <w:szCs w:val="30"/>
          <w:highlight w:val="none"/>
        </w:rPr>
      </w:pPr>
    </w:p>
    <w:p>
      <w:pPr>
        <w:spacing w:line="460" w:lineRule="exact"/>
        <w:rPr>
          <w:rFonts w:ascii="仿宋_GB2312" w:hAnsi="仿宋_GB2312" w:eastAsia="仿宋_GB2312" w:cs="仿宋_GB2312"/>
          <w:b/>
          <w:color w:val="auto"/>
          <w:sz w:val="30"/>
          <w:szCs w:val="30"/>
          <w:highlight w:val="none"/>
        </w:rPr>
      </w:pPr>
    </w:p>
    <w:p>
      <w:pPr>
        <w:spacing w:line="460" w:lineRule="exact"/>
        <w:rPr>
          <w:rFonts w:ascii="仿宋_GB2312" w:hAnsi="仿宋_GB2312" w:eastAsia="仿宋_GB2312" w:cs="仿宋_GB2312"/>
          <w:b/>
          <w:color w:val="auto"/>
          <w:sz w:val="30"/>
          <w:szCs w:val="30"/>
          <w:highlight w:val="none"/>
        </w:rPr>
      </w:pPr>
    </w:p>
    <w:p>
      <w:pPr>
        <w:spacing w:line="460" w:lineRule="exact"/>
        <w:rPr>
          <w:rFonts w:ascii="仿宋_GB2312" w:hAnsi="仿宋_GB2312" w:eastAsia="仿宋_GB2312" w:cs="仿宋_GB2312"/>
          <w:color w:val="auto"/>
          <w:sz w:val="30"/>
          <w:szCs w:val="30"/>
          <w:highlight w:val="none"/>
        </w:rPr>
      </w:pPr>
    </w:p>
    <w:p>
      <w:pPr>
        <w:spacing w:line="460" w:lineRule="exact"/>
        <w:rPr>
          <w:rFonts w:ascii="仿宋_GB2312" w:hAnsi="仿宋_GB2312" w:eastAsia="仿宋_GB2312" w:cs="仿宋_GB2312"/>
          <w:b/>
          <w:color w:val="auto"/>
          <w:sz w:val="30"/>
          <w:szCs w:val="30"/>
          <w:highlight w:val="none"/>
        </w:rPr>
      </w:pPr>
    </w:p>
    <w:p>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比选申请人：    </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全称并加盖公章</w:t>
      </w:r>
      <w:r>
        <w:rPr>
          <w:rFonts w:hint="eastAsia" w:ascii="仿宋_GB2312" w:hAnsi="仿宋_GB2312" w:eastAsia="仿宋_GB2312" w:cs="仿宋_GB2312"/>
          <w:b/>
          <w:color w:val="auto"/>
          <w:sz w:val="30"/>
          <w:szCs w:val="30"/>
          <w:highlight w:val="none"/>
          <w:lang w:eastAsia="zh-CN"/>
        </w:rPr>
        <w:t>）</w:t>
      </w:r>
    </w:p>
    <w:p>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联系人：</w:t>
      </w:r>
    </w:p>
    <w:p>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联系电话：</w:t>
      </w:r>
    </w:p>
    <w:p>
      <w:pPr>
        <w:spacing w:line="460" w:lineRule="exact"/>
        <w:ind w:firstLine="1656" w:firstLineChars="550"/>
        <w:rPr>
          <w:rFonts w:ascii="仿宋_GB2312" w:hAnsi="仿宋_GB2312" w:eastAsia="仿宋_GB2312" w:cs="仿宋_GB2312"/>
          <w:b/>
          <w:color w:val="auto"/>
          <w:sz w:val="30"/>
          <w:szCs w:val="30"/>
          <w:highlight w:val="none"/>
        </w:rPr>
      </w:pPr>
    </w:p>
    <w:p>
      <w:pPr>
        <w:spacing w:line="460" w:lineRule="exact"/>
        <w:ind w:firstLine="1656" w:firstLineChars="550"/>
        <w:rPr>
          <w:rFonts w:ascii="仿宋_GB2312" w:hAnsi="仿宋_GB2312" w:eastAsia="仿宋_GB2312" w:cs="仿宋_GB2312"/>
          <w:b/>
          <w:color w:val="auto"/>
          <w:sz w:val="30"/>
          <w:szCs w:val="30"/>
          <w:highlight w:val="none"/>
        </w:rPr>
      </w:pPr>
    </w:p>
    <w:p>
      <w:pPr>
        <w:spacing w:line="460" w:lineRule="exact"/>
        <w:ind w:firstLine="1656" w:firstLineChars="550"/>
        <w:rPr>
          <w:rFonts w:ascii="仿宋_GB2312" w:hAnsi="仿宋_GB2312" w:eastAsia="仿宋_GB2312" w:cs="仿宋_GB2312"/>
          <w:b/>
          <w:color w:val="auto"/>
          <w:sz w:val="30"/>
          <w:szCs w:val="30"/>
          <w:highlight w:val="none"/>
        </w:rPr>
      </w:pPr>
    </w:p>
    <w:p>
      <w:pPr>
        <w:spacing w:line="460" w:lineRule="exact"/>
        <w:jc w:val="center"/>
        <w:rPr>
          <w:rFonts w:ascii="仿宋_GB2312" w:hAnsi="仿宋_GB2312" w:eastAsia="仿宋_GB2312" w:cs="仿宋_GB2312"/>
          <w:b/>
          <w:color w:val="auto"/>
          <w:sz w:val="30"/>
          <w:szCs w:val="30"/>
          <w:highlight w:val="none"/>
        </w:rPr>
      </w:pPr>
      <w:bookmarkStart w:id="348" w:name="_Toc7456"/>
      <w:r>
        <w:rPr>
          <w:rFonts w:hint="eastAsia" w:ascii="仿宋_GB2312" w:hAnsi="仿宋_GB2312" w:eastAsia="仿宋_GB2312" w:cs="仿宋_GB2312"/>
          <w:b/>
          <w:color w:val="auto"/>
          <w:sz w:val="30"/>
          <w:szCs w:val="30"/>
          <w:highlight w:val="none"/>
        </w:rPr>
        <w:t>年   月   日</w:t>
      </w:r>
      <w:bookmarkEnd w:id="348"/>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br w:type="page"/>
      </w:r>
      <w:bookmarkStart w:id="349" w:name="_Toc16887"/>
      <w:bookmarkStart w:id="350" w:name="_Toc9662"/>
      <w:bookmarkStart w:id="351" w:name="_Toc10022"/>
      <w:bookmarkStart w:id="352" w:name="_Toc12107"/>
      <w:bookmarkStart w:id="353" w:name="_Toc2677"/>
      <w:bookmarkStart w:id="354" w:name="_Toc10661"/>
      <w:bookmarkStart w:id="355" w:name="_Toc30337"/>
      <w:bookmarkStart w:id="356" w:name="_Toc4068"/>
      <w:r>
        <w:rPr>
          <w:rFonts w:hint="eastAsia" w:ascii="仿宋_GB2312" w:hAnsi="仿宋_GB2312" w:eastAsia="仿宋_GB2312" w:cs="仿宋_GB2312"/>
          <w:b/>
          <w:bCs/>
          <w:color w:val="auto"/>
          <w:kern w:val="28"/>
          <w:sz w:val="30"/>
          <w:szCs w:val="30"/>
          <w:highlight w:val="none"/>
          <w:lang w:val="en-US" w:eastAsia="zh-CN" w:bidi="ar-SA"/>
        </w:rPr>
        <w:t>二、比选申请函</w:t>
      </w:r>
      <w:bookmarkEnd w:id="349"/>
      <w:bookmarkEnd w:id="350"/>
      <w:bookmarkEnd w:id="351"/>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致：蜀道物流（香港）有限公司</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我方全面研究了 “蜀道物流（香港）有限公司</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顾问服务单位选聘项目”比选文件，决定参加贵单位组织的本项目比选活动。我方授权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（姓名、职务）代表我方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（比选申请人单位的名称）全权处理本项目比选活动的有关事宜。在此提交的比选申请文件，正本一份，副本一份。包括如下内容：</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（一）比选申请书；负责人本人身份证复印件。如果有委托代理人的，应同时附负责人授权书、负责人身份复印件、委托代理人身份证复印件；</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（二）团队构成，团队负责人及成员简介及其相关资格证书的复印件；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（三）比选报价，即对蜀道物流（香港）有限公司完成法律咨询等</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顾问服务的总价服务费；</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（四）律师事务所执业许可证副本、相关资质复印件；</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（五）本文件第三章提到的相关证明文件；</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（六）承诺函；</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（七）202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年度审计报告；</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w:t>
      </w:r>
      <w:r>
        <w:rPr>
          <w:rFonts w:hint="eastAsia" w:ascii="仿宋_GB2312" w:hAnsi="仿宋_GB2312" w:eastAsia="仿宋_GB2312" w:cs="仿宋_GB2312"/>
          <w:color w:val="auto"/>
          <w:sz w:val="24"/>
          <w:highlight w:val="none"/>
          <w:lang w:eastAsia="zh-CN"/>
        </w:rPr>
        <w:t>已完全</w:t>
      </w:r>
      <w:r>
        <w:rPr>
          <w:rFonts w:hint="eastAsia" w:ascii="仿宋_GB2312" w:hAnsi="仿宋_GB2312" w:eastAsia="仿宋_GB2312" w:cs="仿宋_GB2312"/>
          <w:color w:val="auto"/>
          <w:sz w:val="24"/>
          <w:highlight w:val="none"/>
        </w:rPr>
        <w:t>明白比选文件的所有条款要求，并重申以下几点：</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我方决定参加此次比选项目的法律服务工作并已经实施全部有关服务的比选报价及详细预算。</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（二）我方了解并知悉比选文件第五章“项目需求及服务、团队等相关要求”所列明的内容并进行</w:t>
      </w:r>
      <w:r>
        <w:rPr>
          <w:rFonts w:hint="eastAsia" w:ascii="仿宋_GB2312" w:hAnsi="仿宋_GB2312" w:eastAsia="仿宋_GB2312" w:cs="仿宋_GB2312"/>
          <w:color w:val="auto"/>
          <w:sz w:val="24"/>
          <w:highlight w:val="none"/>
          <w:u w:val="single"/>
        </w:rPr>
        <w:t xml:space="preserve"> 完全/部分 </w:t>
      </w:r>
      <w:r>
        <w:rPr>
          <w:rFonts w:hint="eastAsia" w:ascii="仿宋_GB2312" w:hAnsi="仿宋_GB2312" w:eastAsia="仿宋_GB2312" w:cs="仿宋_GB2312"/>
          <w:color w:val="auto"/>
          <w:sz w:val="24"/>
          <w:highlight w:val="none"/>
        </w:rPr>
        <w:t>响应，其中</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项我单位无法响应（如有请列明序号）。</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本比选申请文件的有效期至比选截止日后</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0天有效，如中选，有效期将延至合同终止日止。</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我方已详细研究了比选文件的所有内容包括修正文件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和所有已提供的参考资料以及有关附件并完全明白。我方放弃在此方面提出含糊意见或误解的一切权力。</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我方同意按照贵方可能提出的要求而提供与比选有关的</w:t>
      </w:r>
      <w:r>
        <w:rPr>
          <w:rFonts w:hint="eastAsia" w:ascii="仿宋_GB2312" w:hAnsi="仿宋_GB2312" w:eastAsia="仿宋_GB2312" w:cs="仿宋_GB2312"/>
          <w:color w:val="auto"/>
          <w:sz w:val="24"/>
          <w:highlight w:val="none"/>
          <w:lang w:eastAsia="zh-CN"/>
        </w:rPr>
        <w:t>任何其他</w:t>
      </w:r>
      <w:r>
        <w:rPr>
          <w:rFonts w:hint="eastAsia" w:ascii="仿宋_GB2312" w:hAnsi="仿宋_GB2312" w:eastAsia="仿宋_GB2312" w:cs="仿宋_GB2312"/>
          <w:color w:val="auto"/>
          <w:sz w:val="24"/>
          <w:highlight w:val="none"/>
        </w:rPr>
        <w:t>数据或信息。</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我方理解贵方不一定接受最低比选报价或任何贵方可能收到的比选申请。</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我方如果中选，将保证履行比选文件以及比选文件修改书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中全部责任和义务，按质、按量、按期完成《合同书》中的全部任务。</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所有与本次比选有关的函件请发往下列地址：</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    址：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邮政编码：          电话：         传真：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参选机构（律所公章）</w:t>
      </w:r>
    </w:p>
    <w:p>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法定代表姓名：             </w:t>
      </w:r>
    </w:p>
    <w:p>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务：</w:t>
      </w:r>
    </w:p>
    <w:p>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授权代表姓名（签名或盖章）</w:t>
      </w:r>
    </w:p>
    <w:p>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参选机构地址：</w:t>
      </w:r>
    </w:p>
    <w:p>
      <w:pPr>
        <w:spacing w:line="460" w:lineRule="exact"/>
        <w:ind w:firstLine="480"/>
        <w:jc w:val="right"/>
        <w:rPr>
          <w:rFonts w:ascii="仿宋_GB2312" w:hAnsi="仿宋_GB2312" w:eastAsia="仿宋_GB2312" w:cs="仿宋_GB2312"/>
          <w:color w:val="auto"/>
          <w:sz w:val="24"/>
          <w:highlight w:val="none"/>
        </w:rPr>
      </w:pPr>
    </w:p>
    <w:p>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三、法定代表人授权书</w:t>
      </w:r>
      <w:bookmarkEnd w:id="352"/>
      <w:bookmarkEnd w:id="353"/>
      <w:bookmarkEnd w:id="354"/>
      <w:bookmarkEnd w:id="355"/>
      <w:bookmarkEnd w:id="356"/>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比选申请人根据自身情况在比选申请书中提供（1）或（2）。</w:t>
      </w:r>
    </w:p>
    <w:p>
      <w:pPr>
        <w:spacing w:line="460" w:lineRule="exact"/>
        <w:ind w:firstLine="480"/>
        <w:rPr>
          <w:rFonts w:ascii="仿宋_GB2312" w:hAnsi="仿宋_GB2312" w:eastAsia="仿宋_GB2312" w:cs="仿宋_GB2312"/>
          <w:color w:val="auto"/>
          <w:sz w:val="24"/>
          <w:highlight w:val="none"/>
        </w:rPr>
      </w:pPr>
    </w:p>
    <w:p>
      <w:pPr>
        <w:spacing w:line="460" w:lineRule="exact"/>
        <w:ind w:firstLine="602"/>
        <w:jc w:val="center"/>
        <w:rPr>
          <w:rFonts w:ascii="仿宋_GB2312" w:hAnsi="仿宋_GB2312" w:eastAsia="仿宋_GB2312" w:cs="仿宋_GB2312"/>
          <w:b/>
          <w:color w:val="auto"/>
          <w:sz w:val="24"/>
          <w:highlight w:val="none"/>
        </w:rPr>
      </w:pPr>
      <w:bookmarkStart w:id="357" w:name="_Toc24911"/>
      <w:r>
        <w:rPr>
          <w:rFonts w:hint="eastAsia" w:ascii="仿宋_GB2312" w:hAnsi="仿宋_GB2312" w:eastAsia="仿宋_GB2312" w:cs="仿宋_GB2312"/>
          <w:b/>
          <w:color w:val="auto"/>
          <w:sz w:val="24"/>
          <w:highlight w:val="none"/>
        </w:rPr>
        <w:t>（1）法定代表人证明</w:t>
      </w:r>
      <w:bookmarkEnd w:id="357"/>
    </w:p>
    <w:p>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（仅在法定代表人参加比选时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律师事务所名称：</w:t>
      </w:r>
      <w:r>
        <w:rPr>
          <w:rFonts w:hint="eastAsia" w:ascii="仿宋_GB2312" w:hAnsi="仿宋_GB2312" w:eastAsia="仿宋_GB2312" w:cs="仿宋_GB2312"/>
          <w:color w:val="auto"/>
          <w:sz w:val="24"/>
          <w:highlight w:val="none"/>
          <w:u w:val="single"/>
        </w:rPr>
        <w:t xml:space="preserve">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single"/>
        </w:rPr>
        <w:t xml:space="preserve">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w:t>
      </w:r>
      <w:r>
        <w:rPr>
          <w:rFonts w:hint="eastAsia" w:ascii="仿宋_GB2312" w:hAnsi="仿宋_GB2312" w:eastAsia="仿宋_GB2312" w:cs="仿宋_GB2312"/>
          <w:color w:val="auto"/>
          <w:sz w:val="24"/>
          <w:highlight w:val="none"/>
          <w:u w:val="single"/>
        </w:rPr>
        <w:t xml:space="preserve">       </w:t>
      </w:r>
    </w:p>
    <w:p>
      <w:pPr>
        <w:spacing w:line="460" w:lineRule="exact"/>
        <w:ind w:firstLine="48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（比选申请人）的法定代表人。</w:t>
      </w:r>
    </w:p>
    <w:p>
      <w:pPr>
        <w:spacing w:line="460" w:lineRule="exact"/>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pPr>
        <w:spacing w:line="460" w:lineRule="exact"/>
        <w:rPr>
          <w:rFonts w:ascii="仿宋_GB2312" w:hAnsi="仿宋_GB2312" w:eastAsia="仿宋_GB2312" w:cs="仿宋_GB2312"/>
          <w:color w:val="auto"/>
          <w:sz w:val="24"/>
          <w:highlight w:val="none"/>
        </w:rPr>
      </w:pPr>
    </w:p>
    <w:p>
      <w:pPr>
        <w:wordWrap w:val="0"/>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pPr>
        <w:spacing w:line="460" w:lineRule="exact"/>
        <w:ind w:firstLine="5160" w:firstLineChars="2150"/>
        <w:rPr>
          <w:rFonts w:ascii="仿宋_GB2312" w:hAnsi="仿宋_GB2312" w:eastAsia="仿宋_GB2312" w:cs="仿宋_GB2312"/>
          <w:color w:val="auto"/>
          <w:sz w:val="24"/>
          <w:highlight w:val="none"/>
          <w:u w:val="single"/>
        </w:rPr>
      </w:pPr>
    </w:p>
    <w:p>
      <w:pPr>
        <w:spacing w:line="460" w:lineRule="exact"/>
        <w:ind w:firstLine="4200" w:firstLineChars="17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tabs>
          <w:tab w:val="left" w:pos="8280"/>
        </w:tabs>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附法定代表人身份证复印件。</w:t>
      </w: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rPr>
          <w:rFonts w:ascii="仿宋_GB2312" w:hAnsi="仿宋_GB2312" w:eastAsia="仿宋_GB2312" w:cs="仿宋_GB2312"/>
          <w:b/>
          <w:color w:val="auto"/>
          <w:sz w:val="24"/>
          <w:highlight w:val="none"/>
        </w:rPr>
      </w:pPr>
    </w:p>
    <w:p>
      <w:pPr>
        <w:spacing w:line="460" w:lineRule="exact"/>
        <w:jc w:val="center"/>
        <w:rPr>
          <w:rFonts w:ascii="仿宋_GB2312" w:hAnsi="仿宋_GB2312" w:eastAsia="仿宋_GB2312" w:cs="仿宋_GB2312"/>
          <w:b/>
          <w:color w:val="auto"/>
          <w:sz w:val="24"/>
          <w:highlight w:val="none"/>
        </w:rPr>
      </w:pPr>
      <w:bookmarkStart w:id="358" w:name="_Toc10373"/>
      <w:r>
        <w:rPr>
          <w:rFonts w:hint="eastAsia" w:ascii="仿宋_GB2312" w:hAnsi="仿宋_GB2312" w:eastAsia="仿宋_GB2312" w:cs="仿宋_GB2312"/>
          <w:b/>
          <w:color w:val="auto"/>
          <w:sz w:val="24"/>
          <w:highlight w:val="none"/>
        </w:rPr>
        <w:t>（2）法定代表人委托书</w:t>
      </w:r>
      <w:bookmarkEnd w:id="358"/>
    </w:p>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pPr>
        <w:spacing w:line="460" w:lineRule="exact"/>
        <w:jc w:val="center"/>
        <w:rPr>
          <w:rFonts w:ascii="仿宋_GB2312" w:hAnsi="仿宋_GB2312" w:eastAsia="仿宋_GB2312" w:cs="仿宋_GB2312"/>
          <w:b/>
          <w:color w:val="auto"/>
          <w:sz w:val="24"/>
          <w:highlight w:val="none"/>
        </w:rPr>
      </w:pP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本授权委托书声明：我</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的法定代表人，现授权</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为我公司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委托代理人，以本所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的名义参加“蜀道物流（香港）有限公司</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顾问服务单位选聘项目”的公开比选活动。委托代理人在比选过程中所签署的一切文件和处理与之有关的一切事务，我及我所均予以承认并全部承担其产生的所有权利和义务。</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委托代理人无转委托权。特此委托。</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委托权限：特别授权</w:t>
      </w:r>
    </w:p>
    <w:p>
      <w:pPr>
        <w:spacing w:line="460" w:lineRule="exact"/>
        <w:rPr>
          <w:rFonts w:ascii="仿宋_GB2312" w:hAnsi="仿宋_GB2312" w:eastAsia="仿宋_GB2312" w:cs="仿宋_GB2312"/>
          <w:color w:val="auto"/>
          <w:sz w:val="24"/>
          <w:highlight w:val="none"/>
        </w:rPr>
      </w:pPr>
    </w:p>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pPr>
        <w:spacing w:line="460" w:lineRule="exact"/>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被授权人（签字）：</w:t>
      </w:r>
      <w:r>
        <w:rPr>
          <w:rFonts w:hint="eastAsia" w:ascii="仿宋_GB2312" w:hAnsi="仿宋_GB2312" w:eastAsia="仿宋_GB2312" w:cs="仿宋_GB2312"/>
          <w:color w:val="auto"/>
          <w:sz w:val="24"/>
          <w:highlight w:val="none"/>
          <w:u w:val="single"/>
        </w:rPr>
        <w:t xml:space="preserve">                </w:t>
      </w:r>
    </w:p>
    <w:p>
      <w:pPr>
        <w:spacing w:line="460" w:lineRule="exact"/>
        <w:rPr>
          <w:rFonts w:ascii="仿宋_GB2312" w:hAnsi="仿宋_GB2312" w:eastAsia="仿宋_GB2312" w:cs="仿宋_GB2312"/>
          <w:color w:val="auto"/>
          <w:sz w:val="24"/>
          <w:highlight w:val="none"/>
        </w:rPr>
      </w:pP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后附法定代表人和被授权人的身份证复印件。</w:t>
      </w:r>
    </w:p>
    <w:p>
      <w:pPr>
        <w:spacing w:line="460" w:lineRule="exact"/>
        <w:rPr>
          <w:rFonts w:ascii="仿宋_GB2312" w:hAnsi="仿宋_GB2312" w:eastAsia="仿宋_GB2312" w:cs="仿宋_GB2312"/>
          <w:color w:val="auto"/>
          <w:sz w:val="24"/>
          <w:highlight w:val="none"/>
        </w:rPr>
      </w:pPr>
    </w:p>
    <w:p>
      <w:pPr>
        <w:spacing w:line="460" w:lineRule="exact"/>
        <w:ind w:firstLine="3720" w:firstLineChars="155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p>
    <w:p>
      <w:pPr>
        <w:spacing w:line="460" w:lineRule="exact"/>
        <w:ind w:firstLine="3120" w:firstLineChars="1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年   月    日</w:t>
      </w: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59" w:name="_Toc21876"/>
      <w:bookmarkStart w:id="360" w:name="_Toc9094"/>
      <w:bookmarkStart w:id="361" w:name="_Toc15612"/>
      <w:bookmarkStart w:id="362" w:name="_Toc14006"/>
      <w:bookmarkStart w:id="363" w:name="_Toc6335"/>
      <w:r>
        <w:rPr>
          <w:rFonts w:hint="eastAsia" w:ascii="仿宋_GB2312" w:hAnsi="仿宋_GB2312" w:eastAsia="仿宋_GB2312" w:cs="仿宋_GB2312"/>
          <w:b/>
          <w:bCs/>
          <w:color w:val="auto"/>
          <w:kern w:val="28"/>
          <w:sz w:val="30"/>
          <w:szCs w:val="30"/>
          <w:highlight w:val="none"/>
          <w:lang w:val="en-US" w:eastAsia="zh-CN" w:bidi="ar-SA"/>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auto"/>
          <w:kern w:val="28"/>
          <w:sz w:val="30"/>
          <w:szCs w:val="30"/>
          <w:highlight w:val="none"/>
          <w:lang w:val="en-US" w:eastAsia="zh-CN" w:bidi="ar-SA"/>
        </w:rPr>
        <w:t>函</w:t>
      </w:r>
    </w:p>
    <w:p>
      <w:pPr>
        <w:spacing w:line="460" w:lineRule="exact"/>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eastAsia="zh-CN"/>
        </w:rPr>
        <w:t>蜀道物流（香港）有限公司</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本单位自愿参加</w:t>
      </w:r>
      <w:r>
        <w:rPr>
          <w:rFonts w:hint="eastAsia" w:ascii="仿宋_GB2312" w:hAnsi="仿宋_GB2312" w:eastAsia="仿宋_GB2312" w:cs="仿宋_GB2312"/>
          <w:color w:val="auto"/>
          <w:sz w:val="24"/>
          <w:highlight w:val="none"/>
          <w:lang w:eastAsia="zh-CN"/>
        </w:rPr>
        <w:t>蜀道物流（香港）有限公司2024年度常年法律</w:t>
      </w:r>
      <w:r>
        <w:rPr>
          <w:rFonts w:hint="eastAsia" w:ascii="仿宋_GB2312" w:hAnsi="仿宋_GB2312" w:eastAsia="仿宋_GB2312" w:cs="仿宋_GB2312"/>
          <w:color w:val="auto"/>
          <w:sz w:val="24"/>
          <w:highlight w:val="none"/>
        </w:rPr>
        <w:t>顾问服务单位选聘项目公开比选，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1.同意比选文件中的有关规定，并按照贵方要求的与比选有关的一切数据、情况和资料等。</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3.本单位如中选，保证按照比选文件的承诺与贵方签订服务合同。</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4.无论本单位中选或者落选，均保证不向任何第三方泄露本次比选的相关信息，不向任何第三方披露获得的或收到的任何文件资料及非公开信息。</w:t>
      </w: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auto"/>
          <w:sz w:val="24"/>
          <w:highlight w:val="none"/>
          <w:lang w:eastAsia="zh-CN"/>
        </w:rPr>
        <w:t>与其他选聘</w:t>
      </w:r>
      <w:r>
        <w:rPr>
          <w:rFonts w:hint="eastAsia" w:ascii="仿宋_GB2312" w:hAnsi="仿宋_GB2312" w:eastAsia="仿宋_GB2312" w:cs="仿宋_GB2312"/>
          <w:color w:val="auto"/>
          <w:sz w:val="24"/>
          <w:highlight w:val="none"/>
        </w:rPr>
        <w:t>申请人恶意串通；向选聘人行贿或者提供其他不正当利益；拒绝有关部门监督检查或提供虚假情况；有其他违规行为。</w:t>
      </w:r>
    </w:p>
    <w:p>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（单位公章）</w:t>
      </w:r>
    </w:p>
    <w:p>
      <w:pPr>
        <w:spacing w:line="460" w:lineRule="exact"/>
        <w:ind w:firstLine="480" w:firstLineChars="200"/>
        <w:jc w:val="center"/>
        <w:rPr>
          <w:rFonts w:ascii="仿宋_GB2312" w:hAnsi="仿宋_GB2312" w:eastAsia="仿宋_GB2312" w:cs="仿宋_GB2312"/>
          <w:color w:val="auto"/>
          <w:sz w:val="24"/>
          <w:highlight w:val="none"/>
        </w:rPr>
      </w:pPr>
      <w:bookmarkStart w:id="364" w:name="_Toc12441"/>
      <w:r>
        <w:rPr>
          <w:rFonts w:hint="eastAsia" w:ascii="仿宋_GB2312" w:hAnsi="仿宋_GB2312" w:eastAsia="仿宋_GB2312" w:cs="仿宋_GB2312"/>
          <w:color w:val="auto"/>
          <w:sz w:val="24"/>
          <w:highlight w:val="none"/>
        </w:rPr>
        <w:t>法定代表人或授权代表（签字或加盖个人名章）：</w:t>
      </w:r>
      <w:bookmarkEnd w:id="364"/>
      <w:r>
        <w:rPr>
          <w:rFonts w:hint="eastAsia" w:ascii="仿宋_GB2312" w:hAnsi="仿宋_GB2312" w:eastAsia="仿宋_GB2312" w:cs="仿宋_GB2312"/>
          <w:color w:val="auto"/>
          <w:sz w:val="24"/>
          <w:highlight w:val="none"/>
          <w:u w:val="single"/>
        </w:rPr>
        <w:t xml:space="preserve">        </w:t>
      </w:r>
    </w:p>
    <w:p>
      <w:pPr>
        <w:keepNext/>
        <w:keepLines/>
        <w:widowControl w:val="0"/>
        <w:spacing w:before="340" w:after="330" w:line="460" w:lineRule="exact"/>
        <w:jc w:val="right"/>
        <w:outlineLvl w:val="0"/>
        <w:rPr>
          <w:rFonts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日    期：   年   月   日</w:t>
      </w:r>
    </w:p>
    <w:p>
      <w:pPr>
        <w:keepNext/>
        <w:keepLines/>
        <w:widowControl w:val="0"/>
        <w:spacing w:before="340" w:after="330" w:line="460" w:lineRule="exact"/>
        <w:jc w:val="left"/>
        <w:outlineLvl w:val="0"/>
        <w:rPr>
          <w:rFonts w:ascii="仿宋_GB2312" w:hAnsi="仿宋_GB2312" w:eastAsia="仿宋_GB2312" w:cs="仿宋_GB2312"/>
          <w:b/>
          <w:bCs/>
          <w:color w:val="auto"/>
          <w:kern w:val="44"/>
          <w:sz w:val="24"/>
          <w:szCs w:val="24"/>
          <w:highlight w:val="none"/>
          <w:lang w:val="en-US" w:eastAsia="zh-CN" w:bidi="ar-SA"/>
        </w:rPr>
      </w:pPr>
      <w:r>
        <w:rPr>
          <w:rFonts w:hint="eastAsia" w:ascii="仿宋_GB2312" w:hAnsi="仿宋_GB2312" w:eastAsia="仿宋_GB2312" w:cs="仿宋_GB2312"/>
          <w:b/>
          <w:bCs/>
          <w:color w:val="auto"/>
          <w:kern w:val="44"/>
          <w:sz w:val="24"/>
          <w:szCs w:val="24"/>
          <w:highlight w:val="none"/>
          <w:lang w:val="en-US" w:eastAsia="zh-CN" w:bidi="ar-SA"/>
        </w:rPr>
        <w:br w:type="page"/>
      </w:r>
      <w:r>
        <w:rPr>
          <w:rFonts w:hint="eastAsia" w:ascii="仿宋_GB2312" w:hAnsi="仿宋_GB2312" w:eastAsia="仿宋_GB2312" w:cs="仿宋_GB2312"/>
          <w:b/>
          <w:bCs/>
          <w:color w:val="auto"/>
          <w:kern w:val="28"/>
          <w:sz w:val="30"/>
          <w:szCs w:val="30"/>
          <w:highlight w:val="none"/>
          <w:lang w:val="en-US" w:eastAsia="zh-CN" w:bidi="ar-SA"/>
        </w:rPr>
        <w:t>五、比选报价表格式</w:t>
      </w:r>
    </w:p>
    <w:p>
      <w:pPr>
        <w:spacing w:line="46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比选报价表</w:t>
      </w:r>
    </w:p>
    <w:p>
      <w:pPr>
        <w:spacing w:before="312" w:beforeLines="100" w:line="460" w:lineRule="exact"/>
        <w:rPr>
          <w:rFonts w:ascii="仿宋_GB2312" w:hAnsi="仿宋_GB2312" w:eastAsia="仿宋_GB2312" w:cs="仿宋_GB2312"/>
          <w:color w:val="auto"/>
          <w:sz w:val="24"/>
          <w:highlight w:val="none"/>
        </w:rPr>
      </w:pP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78"/>
        <w:gridCol w:w="207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88" w:type="dxa"/>
          </w:tcPr>
          <w:p>
            <w:pPr>
              <w:spacing w:before="312" w:beforeLines="100"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678" w:type="dxa"/>
          </w:tcPr>
          <w:p>
            <w:pPr>
              <w:spacing w:before="312" w:beforeLines="100"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075" w:type="dxa"/>
          </w:tcPr>
          <w:p>
            <w:pPr>
              <w:spacing w:before="312" w:beforeLines="100"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比选报价（年）</w:t>
            </w:r>
          </w:p>
        </w:tc>
        <w:tc>
          <w:tcPr>
            <w:tcW w:w="2589" w:type="dxa"/>
          </w:tcPr>
          <w:p>
            <w:pPr>
              <w:spacing w:before="312" w:beforeLines="100"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费用支付方式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pPr>
              <w:spacing w:before="312" w:beforeLines="100"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678" w:type="dxa"/>
            <w:vAlign w:val="center"/>
          </w:tcPr>
          <w:p>
            <w:pPr>
              <w:spacing w:before="312" w:beforeLines="100"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w:t>
            </w:r>
          </w:p>
        </w:tc>
        <w:tc>
          <w:tcPr>
            <w:tcW w:w="2075" w:type="dxa"/>
            <w:vAlign w:val="center"/>
          </w:tcPr>
          <w:p>
            <w:pPr>
              <w:spacing w:before="312" w:beforeLines="100" w:line="460" w:lineRule="exact"/>
              <w:jc w:val="center"/>
              <w:rPr>
                <w:rFonts w:ascii="仿宋_GB2312" w:hAnsi="仿宋_GB2312" w:eastAsia="仿宋_GB2312" w:cs="仿宋_GB2312"/>
                <w:color w:val="auto"/>
                <w:sz w:val="24"/>
                <w:highlight w:val="none"/>
              </w:rPr>
            </w:pPr>
          </w:p>
        </w:tc>
        <w:tc>
          <w:tcPr>
            <w:tcW w:w="2589" w:type="dxa"/>
            <w:vAlign w:val="center"/>
          </w:tcPr>
          <w:p>
            <w:pPr>
              <w:spacing w:before="312" w:beforeLines="100" w:line="460" w:lineRule="exact"/>
              <w:jc w:val="center"/>
              <w:rPr>
                <w:rFonts w:ascii="仿宋_GB2312" w:hAnsi="仿宋_GB2312" w:eastAsia="仿宋_GB2312" w:cs="仿宋_GB2312"/>
                <w:color w:val="auto"/>
                <w:sz w:val="24"/>
                <w:highlight w:val="none"/>
              </w:rPr>
            </w:pPr>
          </w:p>
        </w:tc>
      </w:tr>
    </w:tbl>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widowControl/>
        <w:spacing w:line="460" w:lineRule="exact"/>
        <w:jc w:val="left"/>
        <w:rPr>
          <w:rFonts w:ascii="仿宋_GB2312" w:hAnsi="仿宋_GB2312" w:eastAsia="仿宋_GB2312" w:cs="仿宋_GB2312"/>
          <w:color w:val="auto"/>
          <w:sz w:val="24"/>
          <w:highlight w:val="none"/>
        </w:rPr>
      </w:pPr>
    </w:p>
    <w:p>
      <w:pPr>
        <w:widowControl/>
        <w:spacing w:line="460" w:lineRule="exact"/>
        <w:jc w:val="left"/>
        <w:rPr>
          <w:rFonts w:ascii="仿宋_GB2312" w:hAnsi="仿宋_GB2312" w:eastAsia="仿宋_GB2312" w:cs="仿宋_GB2312"/>
          <w:color w:val="auto"/>
          <w:sz w:val="24"/>
          <w:highlight w:val="none"/>
        </w:rPr>
      </w:pP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bookmarkStart w:id="365" w:name="_Toc19269"/>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比选申请人（单位公章）：</w:t>
      </w:r>
      <w:bookmarkEnd w:id="365"/>
      <w:r>
        <w:rPr>
          <w:rFonts w:hint="eastAsia" w:ascii="仿宋_GB2312" w:hAnsi="仿宋_GB2312" w:eastAsia="仿宋_GB2312" w:cs="仿宋_GB2312"/>
          <w:color w:val="auto"/>
          <w:sz w:val="24"/>
          <w:highlight w:val="none"/>
        </w:rPr>
        <w:t xml:space="preserve"> </w:t>
      </w:r>
    </w:p>
    <w:p>
      <w:pPr>
        <w:spacing w:line="460" w:lineRule="exact"/>
        <w:ind w:firstLine="480" w:firstLineChars="200"/>
        <w:jc w:val="center"/>
        <w:rPr>
          <w:rFonts w:ascii="仿宋_GB2312" w:hAnsi="仿宋_GB2312" w:eastAsia="仿宋_GB2312" w:cs="仿宋_GB2312"/>
          <w:color w:val="auto"/>
          <w:sz w:val="24"/>
          <w:highlight w:val="none"/>
        </w:rPr>
      </w:pPr>
      <w:bookmarkStart w:id="366" w:name="_Toc2864"/>
      <w:r>
        <w:rPr>
          <w:rFonts w:hint="eastAsia" w:ascii="仿宋_GB2312" w:hAnsi="仿宋_GB2312" w:eastAsia="仿宋_GB2312" w:cs="仿宋_GB2312"/>
          <w:color w:val="auto"/>
          <w:sz w:val="24"/>
          <w:highlight w:val="none"/>
        </w:rPr>
        <w:t xml:space="preserve">                         法定代表人/授权代表（签字或盖章）：</w:t>
      </w:r>
      <w:bookmarkEnd w:id="366"/>
      <w:bookmarkStart w:id="367" w:name="_Toc26537"/>
    </w:p>
    <w:p>
      <w:pPr>
        <w:spacing w:line="460" w:lineRule="exact"/>
        <w:ind w:firstLine="3840" w:firstLineChars="16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bookmarkEnd w:id="367"/>
      <w:r>
        <w:rPr>
          <w:rFonts w:hint="eastAsia" w:ascii="仿宋_GB2312" w:hAnsi="仿宋_GB2312" w:eastAsia="仿宋_GB2312" w:cs="仿宋_GB2312"/>
          <w:color w:val="auto"/>
          <w:sz w:val="24"/>
          <w:highlight w:val="none"/>
        </w:rPr>
        <w:t xml:space="preserve"> </w:t>
      </w:r>
    </w:p>
    <w:p>
      <w:pPr>
        <w:widowControl/>
        <w:spacing w:line="460" w:lineRule="exact"/>
        <w:jc w:val="left"/>
        <w:rPr>
          <w:rFonts w:ascii="仿宋_GB2312" w:hAnsi="仿宋_GB2312" w:eastAsia="仿宋_GB2312" w:cs="仿宋_GB2312"/>
          <w:color w:val="auto"/>
          <w:sz w:val="24"/>
          <w:highlight w:val="none"/>
        </w:rPr>
      </w:pPr>
    </w:p>
    <w:p>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68" w:name="_Toc5495"/>
      <w:bookmarkStart w:id="369" w:name="_Toc8182"/>
      <w:bookmarkStart w:id="370" w:name="_Toc25342"/>
      <w:bookmarkStart w:id="371" w:name="_Toc15800"/>
      <w:bookmarkStart w:id="372" w:name="_Toc24016"/>
      <w:r>
        <w:rPr>
          <w:rFonts w:hint="eastAsia" w:ascii="仿宋_GB2312" w:hAnsi="仿宋_GB2312" w:eastAsia="仿宋_GB2312" w:cs="仿宋_GB2312"/>
          <w:b/>
          <w:bCs/>
          <w:color w:val="auto"/>
          <w:kern w:val="28"/>
          <w:sz w:val="30"/>
          <w:szCs w:val="30"/>
          <w:highlight w:val="none"/>
          <w:lang w:val="en-US" w:eastAsia="zh-CN" w:bidi="ar-SA"/>
        </w:rPr>
        <w:t>六、</w:t>
      </w:r>
      <w:r>
        <w:rPr>
          <w:rFonts w:ascii="仿宋_GB2312" w:hAnsi="仿宋_GB2312" w:eastAsia="仿宋_GB2312" w:cs="仿宋_GB2312"/>
          <w:b/>
          <w:bCs/>
          <w:color w:val="auto"/>
          <w:kern w:val="28"/>
          <w:sz w:val="30"/>
          <w:szCs w:val="30"/>
          <w:highlight w:val="none"/>
          <w:lang w:val="en-US" w:eastAsia="zh-CN" w:bidi="ar-SA"/>
        </w:rPr>
        <w:t>比选申请人基本情况表</w:t>
      </w:r>
    </w:p>
    <w:tbl>
      <w:tblPr>
        <w:tblStyle w:val="17"/>
        <w:tblW w:w="8932" w:type="dxa"/>
        <w:jc w:val="center"/>
        <w:tblLayout w:type="fixed"/>
        <w:tblCellMar>
          <w:top w:w="0" w:type="dxa"/>
          <w:left w:w="108" w:type="dxa"/>
          <w:bottom w:w="0" w:type="dxa"/>
          <w:right w:w="108" w:type="dxa"/>
        </w:tblCellMar>
      </w:tblPr>
      <w:tblGrid>
        <w:gridCol w:w="2021"/>
        <w:gridCol w:w="1080"/>
        <w:gridCol w:w="1025"/>
        <w:gridCol w:w="1680"/>
        <w:gridCol w:w="1320"/>
        <w:gridCol w:w="1806"/>
      </w:tblGrid>
      <w:tr>
        <w:tblPrEx>
          <w:tblCellMar>
            <w:top w:w="0" w:type="dxa"/>
            <w:left w:w="108" w:type="dxa"/>
            <w:bottom w:w="0" w:type="dxa"/>
            <w:right w:w="108" w:type="dxa"/>
          </w:tblCellMar>
        </w:tblPrEx>
        <w:trPr>
          <w:trHeight w:val="809"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比选申请人名称</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360" w:lineRule="exact"/>
              <w:rPr>
                <w:rFonts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481"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注册地址</w:t>
            </w:r>
          </w:p>
        </w:tc>
        <w:tc>
          <w:tcPr>
            <w:tcW w:w="3785"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4" w:space="0"/>
              <w:right w:val="single" w:color="000000" w:sz="2"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88" w:hRule="exact"/>
          <w:jc w:val="center"/>
        </w:trPr>
        <w:tc>
          <w:tcPr>
            <w:tcW w:w="2021" w:type="dxa"/>
            <w:vMerge w:val="restart"/>
            <w:tcBorders>
              <w:top w:val="single" w:color="000000" w:sz="4" w:space="0"/>
              <w:left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联系方式</w:t>
            </w:r>
          </w:p>
        </w:tc>
        <w:tc>
          <w:tcPr>
            <w:tcW w:w="1080" w:type="dxa"/>
            <w:tcBorders>
              <w:top w:val="single" w:color="000000" w:sz="4" w:space="0"/>
              <w:left w:val="single" w:color="000000" w:sz="4" w:space="0"/>
              <w:bottom w:val="single" w:color="000000" w:sz="2"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联系人</w:t>
            </w:r>
          </w:p>
        </w:tc>
        <w:tc>
          <w:tcPr>
            <w:tcW w:w="2705" w:type="dxa"/>
            <w:gridSpan w:val="2"/>
            <w:tcBorders>
              <w:top w:val="single" w:color="000000" w:sz="4" w:space="0"/>
              <w:left w:val="single" w:color="000000" w:sz="4" w:space="0"/>
              <w:bottom w:val="single" w:color="000000" w:sz="2"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2" w:space="0"/>
              <w:right w:val="single" w:color="000000" w:sz="2"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08" w:hRule="exact"/>
          <w:jc w:val="center"/>
        </w:trPr>
        <w:tc>
          <w:tcPr>
            <w:tcW w:w="2021" w:type="dxa"/>
            <w:vMerge w:val="continue"/>
            <w:tcBorders>
              <w:left w:val="single" w:color="000000" w:sz="4" w:space="0"/>
              <w:bottom w:val="single" w:color="000000" w:sz="4" w:space="0"/>
              <w:right w:val="single" w:color="000000" w:sz="4" w:space="0"/>
            </w:tcBorders>
            <w:vAlign w:val="center"/>
          </w:tcPr>
          <w:p>
            <w:pPr>
              <w:spacing w:before="156" w:beforeLines="50" w:after="156" w:afterLines="50" w:line="360" w:lineRule="exact"/>
              <w:jc w:val="center"/>
              <w:rPr>
                <w:rFonts w:ascii="仿宋_GB2312" w:hAnsi="仿宋_GB2312" w:eastAsia="仿宋_GB2312" w:cs="仿宋_GB2312"/>
                <w:color w:val="auto"/>
                <w:sz w:val="24"/>
                <w:highlight w:val="none"/>
              </w:rPr>
            </w:pPr>
          </w:p>
        </w:tc>
        <w:tc>
          <w:tcPr>
            <w:tcW w:w="1080" w:type="dxa"/>
            <w:tcBorders>
              <w:top w:val="single" w:color="000000" w:sz="2" w:space="0"/>
              <w:left w:val="single" w:color="000000" w:sz="4" w:space="0"/>
              <w:bottom w:val="single" w:color="000000" w:sz="4" w:space="0"/>
              <w:right w:val="single" w:color="000000" w:sz="4" w:space="0"/>
            </w:tcBorders>
            <w:vAlign w:val="center"/>
          </w:tcPr>
          <w:p>
            <w:pPr>
              <w:widowControl w:val="0"/>
              <w:tabs>
                <w:tab w:val="left" w:pos="241"/>
              </w:tabs>
              <w:spacing w:before="156" w:beforeLines="50" w:after="156" w:afterLines="50" w:line="360" w:lineRule="exact"/>
              <w:jc w:val="both"/>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传</w:t>
            </w:r>
            <w:r>
              <w:rPr>
                <w:rFonts w:ascii="仿宋_GB2312" w:hAnsi="仿宋_GB2312" w:eastAsia="仿宋_GB2312" w:cs="仿宋_GB2312"/>
                <w:color w:val="auto"/>
                <w:kern w:val="2"/>
                <w:sz w:val="24"/>
                <w:szCs w:val="24"/>
                <w:highlight w:val="none"/>
                <w:lang w:val="en-US" w:eastAsia="zh-CN" w:bidi="ar-SA"/>
              </w:rPr>
              <w:tab/>
            </w:r>
            <w:r>
              <w:rPr>
                <w:rFonts w:ascii="仿宋_GB2312" w:hAnsi="仿宋_GB2312" w:eastAsia="仿宋_GB2312" w:cs="仿宋_GB2312"/>
                <w:color w:val="auto"/>
                <w:kern w:val="2"/>
                <w:sz w:val="24"/>
                <w:szCs w:val="24"/>
                <w:highlight w:val="none"/>
                <w:lang w:val="en-US" w:eastAsia="zh-CN" w:bidi="ar-SA"/>
              </w:rPr>
              <w:t>真</w:t>
            </w:r>
          </w:p>
        </w:tc>
        <w:tc>
          <w:tcPr>
            <w:tcW w:w="2705" w:type="dxa"/>
            <w:gridSpan w:val="2"/>
            <w:tcBorders>
              <w:top w:val="single" w:color="000000" w:sz="2" w:space="0"/>
              <w:left w:val="single" w:color="000000" w:sz="4" w:space="0"/>
              <w:bottom w:val="single" w:color="000000" w:sz="4" w:space="0"/>
              <w:right w:val="single" w:color="000000" w:sz="4" w:space="0"/>
            </w:tcBorders>
            <w:vAlign w:val="center"/>
          </w:tcPr>
          <w:p>
            <w:pPr>
              <w:spacing w:before="156" w:beforeLines="50" w:after="156" w:afterLines="50" w:line="360" w:lineRule="exact"/>
              <w:rPr>
                <w:rFonts w:ascii="仿宋_GB2312" w:hAnsi="仿宋_GB2312" w:eastAsia="仿宋_GB2312" w:cs="仿宋_GB2312"/>
                <w:color w:val="auto"/>
                <w:sz w:val="24"/>
                <w:highlight w:val="none"/>
              </w:rPr>
            </w:pPr>
          </w:p>
        </w:tc>
        <w:tc>
          <w:tcPr>
            <w:tcW w:w="1320" w:type="dxa"/>
            <w:tcBorders>
              <w:top w:val="single" w:color="000000" w:sz="2" w:space="0"/>
              <w:left w:val="single" w:color="000000" w:sz="4" w:space="0"/>
              <w:bottom w:val="single" w:color="000000" w:sz="4" w:space="0"/>
              <w:right w:val="single" w:color="000000" w:sz="2" w:space="0"/>
            </w:tcBorders>
            <w:vAlign w:val="center"/>
          </w:tcPr>
          <w:p>
            <w:pPr>
              <w:widowControl w:val="0"/>
              <w:spacing w:before="156" w:beforeLines="50" w:after="156" w:afterLines="50" w:line="360" w:lineRule="exact"/>
              <w:jc w:val="both"/>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电子邮件</w:t>
            </w:r>
          </w:p>
        </w:tc>
        <w:tc>
          <w:tcPr>
            <w:tcW w:w="1806"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line="360" w:lineRule="exact"/>
              <w:rPr>
                <w:rFonts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567"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法定代表人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姓名</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44"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企业信用代码</w:t>
            </w:r>
          </w:p>
        </w:tc>
        <w:tc>
          <w:tcPr>
            <w:tcW w:w="210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注册资本金</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64"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成立日期</w:t>
            </w:r>
          </w:p>
        </w:tc>
        <w:tc>
          <w:tcPr>
            <w:tcW w:w="210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569"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基本银行账</w:t>
            </w:r>
            <w:r>
              <w:rPr>
                <w:rFonts w:hint="eastAsia" w:ascii="仿宋_GB2312" w:hAnsi="仿宋_GB2312" w:eastAsia="仿宋_GB2312" w:cs="仿宋_GB2312"/>
                <w:color w:val="auto"/>
                <w:kern w:val="2"/>
                <w:sz w:val="24"/>
                <w:szCs w:val="24"/>
                <w:highlight w:val="none"/>
                <w:lang w:val="en-US" w:eastAsia="zh-CN" w:bidi="ar-SA"/>
              </w:rPr>
              <w:t>户</w:t>
            </w:r>
          </w:p>
        </w:tc>
        <w:tc>
          <w:tcPr>
            <w:tcW w:w="6911" w:type="dxa"/>
            <w:gridSpan w:val="5"/>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756"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经营范围</w:t>
            </w:r>
          </w:p>
        </w:tc>
        <w:tc>
          <w:tcPr>
            <w:tcW w:w="6911" w:type="dxa"/>
            <w:gridSpan w:val="5"/>
            <w:tcBorders>
              <w:top w:val="single" w:color="000000" w:sz="4" w:space="0"/>
              <w:left w:val="single" w:color="000000" w:sz="4" w:space="0"/>
              <w:bottom w:val="single" w:color="000000" w:sz="4" w:space="0"/>
              <w:right w:val="single" w:color="000000" w:sz="4" w:space="0"/>
            </w:tcBorders>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3538"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比选申请人</w:t>
            </w:r>
          </w:p>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关联企业情况</w:t>
            </w:r>
          </w:p>
        </w:tc>
        <w:tc>
          <w:tcPr>
            <w:tcW w:w="6911" w:type="dxa"/>
            <w:gridSpan w:val="5"/>
            <w:tcBorders>
              <w:top w:val="single" w:color="000000" w:sz="4" w:space="0"/>
              <w:left w:val="single" w:color="000000" w:sz="4" w:space="0"/>
              <w:bottom w:val="single" w:color="000000" w:sz="4" w:space="0"/>
              <w:right w:val="single" w:color="000000" w:sz="4" w:space="0"/>
            </w:tcBorders>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填写关联企业情况，包括：</w:t>
            </w:r>
          </w:p>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（1）比选申请人的所有股东名称及相应股权（出资额）比例：如比选申请人为上市公司，比选申请人应提供股权占公司股份总数50%以上的所有股东名称及相应股权比例；</w:t>
            </w:r>
          </w:p>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（2）比选申请人投资（控股）或管理的下属企业名称、持有股权（出资额）比例：</w:t>
            </w:r>
          </w:p>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（3）与比选申请人单位负责人（即法定代表人）为同一人的其他单位名称。</w:t>
            </w:r>
          </w:p>
        </w:tc>
      </w:tr>
      <w:tr>
        <w:tblPrEx>
          <w:tblCellMar>
            <w:top w:w="0" w:type="dxa"/>
            <w:left w:w="108" w:type="dxa"/>
            <w:bottom w:w="0" w:type="dxa"/>
            <w:right w:w="108" w:type="dxa"/>
          </w:tblCellMar>
        </w:tblPrEx>
        <w:trPr>
          <w:trHeight w:val="559" w:hRule="exact"/>
          <w:jc w:val="center"/>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备注</w:t>
            </w:r>
          </w:p>
        </w:tc>
        <w:tc>
          <w:tcPr>
            <w:tcW w:w="6911" w:type="dxa"/>
            <w:gridSpan w:val="5"/>
            <w:tcBorders>
              <w:top w:val="single" w:color="000000" w:sz="4" w:space="0"/>
              <w:left w:val="single" w:color="000000" w:sz="4" w:space="0"/>
              <w:bottom w:val="single" w:color="000000" w:sz="4" w:space="0"/>
              <w:right w:val="single" w:color="000000" w:sz="4" w:space="0"/>
            </w:tcBorders>
          </w:tcPr>
          <w:p>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bl>
    <w:p>
      <w:pPr>
        <w:spacing w:line="600" w:lineRule="exact"/>
        <w:rPr>
          <w:rFonts w:ascii="Times New Roman" w:hAnsi="Times New Roman" w:eastAsia="仿宋" w:cs="Times New Roman"/>
          <w:color w:val="auto"/>
          <w:sz w:val="28"/>
          <w:szCs w:val="28"/>
          <w:highlight w:val="none"/>
        </w:rPr>
      </w:pPr>
      <w:r>
        <w:rPr>
          <w:rFonts w:ascii="仿宋_GB2312" w:hAnsi="仿宋_GB2312" w:eastAsia="仿宋_GB2312" w:cs="仿宋_GB2312"/>
          <w:color w:val="auto"/>
          <w:sz w:val="24"/>
          <w:highlight w:val="none"/>
        </w:rPr>
        <w:t>注：应附营业执照复印件，需加盖公司鲜章。</w:t>
      </w:r>
    </w:p>
    <w:p>
      <w:pPr>
        <w:spacing w:line="600" w:lineRule="exact"/>
        <w:rPr>
          <w:rFonts w:ascii="Times New Roman" w:hAnsi="Times New Roman" w:eastAsia="仿宋" w:cs="Times New Roman"/>
          <w:color w:val="auto"/>
          <w:sz w:val="28"/>
          <w:szCs w:val="28"/>
          <w:highlight w:val="none"/>
        </w:rPr>
      </w:pP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比选申请人（单位公章）： </w:t>
      </w: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法定代表人/授权代表</w:t>
      </w:r>
      <w:r>
        <w:rPr>
          <w:rFonts w:ascii="仿宋_GB2312" w:hAnsi="仿宋_GB2312" w:eastAsia="仿宋_GB2312" w:cs="仿宋_GB2312"/>
          <w:color w:val="auto"/>
          <w:sz w:val="24"/>
          <w:highlight w:val="none"/>
        </w:rPr>
        <w:t xml:space="preserve">（签字）：               </w:t>
      </w: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日 期：</w:t>
      </w:r>
    </w:p>
    <w:p>
      <w:pPr>
        <w:keepNext/>
        <w:keepLines/>
        <w:widowControl w:val="0"/>
        <w:ind w:firstLine="880"/>
        <w:jc w:val="both"/>
        <w:outlineLvl w:val="3"/>
        <w:rPr>
          <w:rFonts w:ascii="仿宋_GB2312" w:hAnsi="仿宋_GB2312" w:eastAsia="仿宋_GB2312" w:cs="仿宋_GB2312"/>
          <w:color w:val="auto"/>
          <w:kern w:val="2"/>
          <w:sz w:val="30"/>
          <w:szCs w:val="30"/>
          <w:highlight w:val="none"/>
          <w:lang w:val="en-US" w:eastAsia="zh-CN" w:bidi="ar-SA"/>
        </w:rPr>
      </w:pPr>
    </w:p>
    <w:p>
      <w:pPr>
        <w:rPr>
          <w:color w:val="auto"/>
          <w:highlight w:val="none"/>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p>
    <w:p>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七、合法有效律师事务所执业许可证，以及国家法律法规要求的相关从业资质</w:t>
      </w:r>
    </w:p>
    <w:p>
      <w:pPr>
        <w:rPr>
          <w:rFonts w:ascii="仿宋_GB2312" w:hAnsi="仿宋_GB2312" w:eastAsia="仿宋_GB2312" w:cs="仿宋_GB2312"/>
          <w:color w:val="auto"/>
          <w:sz w:val="30"/>
          <w:szCs w:val="30"/>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widowControl w:val="0"/>
        <w:numPr>
          <w:ilvl w:val="0"/>
          <w:numId w:val="3"/>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具有四川省内常设机构及拥有50名以上的注册专职律师相关证明材料</w:t>
      </w:r>
    </w:p>
    <w:p>
      <w:pP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br w:type="page"/>
      </w:r>
    </w:p>
    <w:p>
      <w:pPr>
        <w:widowControl w:val="0"/>
        <w:numPr>
          <w:ilvl w:val="0"/>
          <w:numId w:val="3"/>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近三年未受到司法行政部门的行政处罚和律师协会的行业处分，近三年提供的法律服务未因重大执业质量等问题受到省国资委的通报（提供相关网站查询截图）</w:t>
      </w: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auto"/>
          <w:kern w:val="28"/>
          <w:sz w:val="30"/>
          <w:szCs w:val="30"/>
          <w:highlight w:val="none"/>
          <w:lang w:val="en-US" w:eastAsia="zh-CN" w:bidi="ar-SA"/>
        </w:rPr>
        <w:t>）</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简述项目服务方案，服务方案应包含以下人员情况介绍。</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一、团队负责人及主要参与人员基本情况</w:t>
      </w:r>
    </w:p>
    <w:tbl>
      <w:tblPr>
        <w:tblStyle w:val="1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910"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51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类似工作</w:t>
            </w:r>
          </w:p>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经验年限</w:t>
            </w:r>
          </w:p>
        </w:tc>
        <w:tc>
          <w:tcPr>
            <w:tcW w:w="1804"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拟任职务</w:t>
            </w:r>
          </w:p>
        </w:tc>
        <w:tc>
          <w:tcPr>
            <w:tcW w:w="1942"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法律服务</w:t>
            </w:r>
          </w:p>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bl>
    <w:p>
      <w:pPr>
        <w:spacing w:line="460" w:lineRule="exact"/>
        <w:rPr>
          <w:rFonts w:ascii="仿宋_GB2312" w:hAnsi="仿宋_GB2312" w:eastAsia="仿宋_GB2312" w:cs="仿宋_GB2312"/>
          <w:color w:val="auto"/>
          <w:sz w:val="24"/>
          <w:highlight w:val="none"/>
        </w:rPr>
      </w:pPr>
      <w:bookmarkStart w:id="373" w:name="_Toc455607508"/>
      <w:r>
        <w:rPr>
          <w:rFonts w:hint="eastAsia" w:ascii="仿宋_GB2312" w:hAnsi="仿宋_GB2312" w:eastAsia="仿宋_GB2312" w:cs="仿宋_GB2312"/>
          <w:color w:val="auto"/>
          <w:sz w:val="24"/>
          <w:highlight w:val="none"/>
        </w:rPr>
        <w:t>二、投入本项目的主要负责人资历表</w:t>
      </w:r>
      <w:bookmarkEnd w:id="373"/>
    </w:p>
    <w:tbl>
      <w:tblPr>
        <w:tblStyle w:val="1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60"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479"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264"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60"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479"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264"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261" w:type="dxa"/>
            <w:gridSpan w:val="5"/>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681" w:type="dxa"/>
            <w:gridSpan w:val="4"/>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640"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r>
    </w:tbl>
    <w:p>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bookmarkStart w:id="374" w:name="_Toc455607509"/>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三、投入本项目的主要团队人员资历表</w:t>
      </w:r>
      <w:bookmarkEnd w:id="374"/>
    </w:p>
    <w:tbl>
      <w:tblPr>
        <w:tblStyle w:val="1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38"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672"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156"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38"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672"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156" w:type="dxa"/>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199" w:type="dxa"/>
            <w:gridSpan w:val="5"/>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732" w:type="dxa"/>
            <w:gridSpan w:val="4"/>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505" w:type="dxa"/>
            <w:gridSpan w:val="2"/>
          </w:tcPr>
          <w:p>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pPr>
              <w:snapToGrid w:val="0"/>
              <w:spacing w:line="460" w:lineRule="exact"/>
              <w:ind w:left="-57" w:right="-57"/>
              <w:jc w:val="center"/>
              <w:rPr>
                <w:rFonts w:ascii="仿宋_GB2312" w:hAnsi="仿宋_GB2312" w:eastAsia="仿宋_GB2312" w:cs="仿宋_GB2312"/>
                <w:color w:val="auto"/>
                <w:kern w:val="0"/>
                <w:sz w:val="24"/>
                <w:highlight w:val="none"/>
              </w:rPr>
            </w:pPr>
          </w:p>
        </w:tc>
      </w:tr>
    </w:tbl>
    <w:p>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p>
    <w:p>
      <w:pPr>
        <w:widowControl/>
        <w:spacing w:line="460" w:lineRule="exact"/>
        <w:jc w:val="left"/>
        <w:rPr>
          <w:rFonts w:ascii="仿宋_GB2312" w:hAnsi="仿宋_GB2312" w:eastAsia="仿宋_GB2312" w:cs="仿宋_GB2312"/>
          <w:color w:val="auto"/>
          <w:sz w:val="24"/>
          <w:highlight w:val="none"/>
        </w:rPr>
      </w:pP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比选申请人（单位公章）： </w:t>
      </w:r>
    </w:p>
    <w:p>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法定代表人/授权代表</w:t>
      </w:r>
      <w:r>
        <w:rPr>
          <w:rFonts w:ascii="仿宋_GB2312" w:hAnsi="仿宋_GB2312" w:eastAsia="仿宋_GB2312" w:cs="仿宋_GB2312"/>
          <w:color w:val="auto"/>
          <w:sz w:val="24"/>
          <w:highlight w:val="none"/>
        </w:rPr>
        <w:t xml:space="preserve">（签字）：               </w:t>
      </w:r>
    </w:p>
    <w:p>
      <w:pPr>
        <w:spacing w:line="460" w:lineRule="exact"/>
        <w:ind w:firstLine="480" w:firstLineChars="200"/>
        <w:jc w:val="center"/>
        <w:rPr>
          <w:rFonts w:ascii="仿宋_GB2312" w:hAnsi="仿宋_GB2312" w:eastAsia="仿宋_GB2312" w:cs="仿宋_GB2312"/>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z w:val="24"/>
          <w:highlight w:val="none"/>
        </w:rPr>
        <w:t xml:space="preserve">                           日 期： </w:t>
      </w:r>
    </w:p>
    <w:p>
      <w:pPr>
        <w:keepNext/>
        <w:keepLines/>
        <w:widowControl w:val="0"/>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十一、2021年至今，比选人类似行业（包括不限于大宗贸易、物流加工、供应链管理、物流仓储等）的企业提供的常年法律顾问服务业绩（提供证明材料及经验简介）</w:t>
      </w:r>
    </w:p>
    <w:p>
      <w:pPr>
        <w:rPr>
          <w:rFonts w:ascii="仿宋_GB2312" w:hAnsi="仿宋_GB2312" w:eastAsia="仿宋_GB2312" w:cs="仿宋_GB2312"/>
          <w:b/>
          <w:bCs/>
          <w:color w:val="auto"/>
          <w:kern w:val="28"/>
          <w:sz w:val="30"/>
          <w:szCs w:val="30"/>
          <w:highlight w:val="none"/>
        </w:rPr>
      </w:pPr>
      <w:r>
        <w:rPr>
          <w:rFonts w:hint="eastAsia" w:ascii="仿宋_GB2312" w:hAnsi="仿宋_GB2312" w:eastAsia="仿宋_GB2312" w:cs="仿宋_GB2312"/>
          <w:b/>
          <w:bCs/>
          <w:color w:val="auto"/>
          <w:kern w:val="28"/>
          <w:sz w:val="30"/>
          <w:szCs w:val="30"/>
          <w:highlight w:val="none"/>
        </w:rPr>
        <w:br w:type="page"/>
      </w:r>
    </w:p>
    <w:p>
      <w:pPr>
        <w:keepNext/>
        <w:keepLines/>
        <w:widowControl w:val="0"/>
        <w:numPr>
          <w:ilvl w:val="0"/>
          <w:numId w:val="4"/>
        </w:numPr>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2022年度财务审计报告</w:t>
      </w:r>
    </w:p>
    <w:p>
      <w:pPr>
        <w:rPr>
          <w:rFonts w:ascii="仿宋_GB2312" w:hAnsi="仿宋_GB2312" w:eastAsia="仿宋_GB2312" w:cs="仿宋_GB2312"/>
          <w:b/>
          <w:bCs/>
          <w:color w:val="auto"/>
          <w:kern w:val="28"/>
          <w:sz w:val="30"/>
          <w:szCs w:val="30"/>
          <w:highlight w:val="none"/>
        </w:rPr>
      </w:pPr>
      <w:r>
        <w:rPr>
          <w:rFonts w:hint="eastAsia" w:ascii="仿宋_GB2312" w:hAnsi="仿宋_GB2312" w:eastAsia="仿宋_GB2312" w:cs="仿宋_GB2312"/>
          <w:b/>
          <w:bCs/>
          <w:color w:val="auto"/>
          <w:kern w:val="28"/>
          <w:sz w:val="30"/>
          <w:szCs w:val="30"/>
          <w:highlight w:val="none"/>
        </w:rPr>
        <w:br w:type="page"/>
      </w:r>
    </w:p>
    <w:p>
      <w:pPr>
        <w:keepNext/>
        <w:keepLines/>
        <w:widowControl w:val="0"/>
        <w:numPr>
          <w:ilvl w:val="255"/>
          <w:numId w:val="0"/>
        </w:numPr>
        <w:ind w:firstLine="880"/>
        <w:jc w:val="both"/>
        <w:outlineLvl w:val="3"/>
        <w:rPr>
          <w:rFonts w:ascii="仿宋_GB2312" w:hAnsi="仿宋_GB2312" w:eastAsia="仿宋_GB2312" w:cs="仿宋_GB2312"/>
          <w:b/>
          <w:bCs/>
          <w:color w:val="auto"/>
          <w:kern w:val="28"/>
          <w:sz w:val="30"/>
          <w:szCs w:val="30"/>
          <w:highlight w:val="none"/>
          <w:lang w:val="en-US" w:eastAsia="zh-CN" w:bidi="ar-SA"/>
        </w:rPr>
      </w:pPr>
      <w:bookmarkStart w:id="375" w:name="_Toc8050"/>
      <w:bookmarkStart w:id="376" w:name="_Toc29181"/>
      <w:bookmarkStart w:id="377" w:name="_Toc29701"/>
      <w:bookmarkStart w:id="378" w:name="_Toc19007"/>
      <w:bookmarkStart w:id="379" w:name="_Toc23378"/>
      <w:bookmarkStart w:id="380" w:name="_Toc7311"/>
      <w:bookmarkStart w:id="381" w:name="_Toc5469"/>
      <w:bookmarkStart w:id="382" w:name="_Toc5371"/>
      <w:r>
        <w:rPr>
          <w:rFonts w:hint="eastAsia" w:ascii="仿宋_GB2312" w:hAnsi="仿宋_GB2312" w:eastAsia="仿宋_GB2312" w:cs="仿宋_GB2312"/>
          <w:b/>
          <w:bCs/>
          <w:color w:val="auto"/>
          <w:kern w:val="28"/>
          <w:sz w:val="30"/>
          <w:szCs w:val="30"/>
          <w:highlight w:val="none"/>
          <w:lang w:val="en-US" w:eastAsia="zh-CN" w:bidi="ar-SA"/>
        </w:rPr>
        <w:t>十三、比选申请人认为需附的</w:t>
      </w:r>
      <w:r>
        <w:rPr>
          <w:rFonts w:ascii="仿宋_GB2312" w:hAnsi="仿宋_GB2312" w:eastAsia="仿宋_GB2312" w:cs="仿宋_GB2312"/>
          <w:b/>
          <w:bCs/>
          <w:color w:val="auto"/>
          <w:kern w:val="28"/>
          <w:sz w:val="30"/>
          <w:szCs w:val="30"/>
          <w:highlight w:val="none"/>
          <w:lang w:val="en-US" w:eastAsia="zh-CN" w:bidi="ar-SA"/>
        </w:rPr>
        <w:t>其他资料（如有）</w:t>
      </w:r>
    </w:p>
    <w:p>
      <w:pPr>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br w:type="page"/>
      </w:r>
    </w:p>
    <w:p>
      <w:pPr>
        <w:spacing w:after="156" w:afterLines="50" w:line="460" w:lineRule="exact"/>
        <w:ind w:firstLine="643" w:firstLineChars="200"/>
        <w:jc w:val="center"/>
        <w:outlineLvl w:val="0"/>
        <w:rPr>
          <w:rFonts w:ascii="仿宋_GB2312" w:hAnsi="仿宋_GB2312" w:eastAsia="仿宋_GB2312" w:cs="仿宋_GB2312"/>
          <w:color w:val="auto"/>
          <w:sz w:val="32"/>
          <w:szCs w:val="32"/>
          <w:highlight w:val="none"/>
        </w:rPr>
      </w:pPr>
      <w:bookmarkStart w:id="383" w:name="_Toc939"/>
      <w:bookmarkStart w:id="384" w:name="_Toc31984"/>
      <w:r>
        <w:rPr>
          <w:rFonts w:hint="eastAsia" w:ascii="仿宋_GB2312" w:hAnsi="仿宋_GB2312" w:eastAsia="仿宋_GB2312" w:cs="仿宋_GB2312"/>
          <w:b/>
          <w:bCs/>
          <w:color w:val="auto"/>
          <w:sz w:val="32"/>
          <w:szCs w:val="32"/>
          <w:highlight w:val="none"/>
        </w:rPr>
        <w:t>第五章 项目需求及服务、团队等相关要求</w:t>
      </w:r>
      <w:bookmarkEnd w:id="375"/>
      <w:bookmarkEnd w:id="376"/>
      <w:bookmarkEnd w:id="377"/>
      <w:bookmarkEnd w:id="378"/>
      <w:bookmarkEnd w:id="379"/>
      <w:bookmarkEnd w:id="380"/>
      <w:bookmarkEnd w:id="381"/>
      <w:bookmarkEnd w:id="382"/>
      <w:bookmarkEnd w:id="383"/>
      <w:bookmarkEnd w:id="384"/>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385" w:name="_Toc27403"/>
      <w:bookmarkStart w:id="386" w:name="_Toc4032"/>
      <w:bookmarkStart w:id="387" w:name="_Toc2263"/>
      <w:r>
        <w:rPr>
          <w:rFonts w:hint="eastAsia" w:ascii="仿宋_GB2312" w:hAnsi="仿宋_GB2312" w:eastAsia="仿宋_GB2312" w:cs="仿宋_GB2312"/>
          <w:color w:val="auto"/>
          <w:sz w:val="24"/>
          <w:highlight w:val="none"/>
        </w:rPr>
        <w:t>一、项目需求</w:t>
      </w:r>
      <w:bookmarkEnd w:id="385"/>
      <w:bookmarkEnd w:id="386"/>
      <w:bookmarkEnd w:id="387"/>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比选人为加强法律服务支撑，维护公司合法权益，为公司正常运营和发展保驾护航，引入法律支撑服务合作单位。项目合同服务期限为按合同约定。</w:t>
      </w:r>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388" w:name="_Toc15152"/>
      <w:bookmarkStart w:id="389" w:name="_Toc10913"/>
      <w:bookmarkStart w:id="390" w:name="_Toc2266"/>
      <w:r>
        <w:rPr>
          <w:rFonts w:hint="eastAsia" w:ascii="仿宋_GB2312" w:hAnsi="仿宋_GB2312" w:eastAsia="仿宋_GB2312" w:cs="仿宋_GB2312"/>
          <w:color w:val="auto"/>
          <w:sz w:val="24"/>
          <w:highlight w:val="none"/>
        </w:rPr>
        <w:t>二、服务要求</w:t>
      </w:r>
      <w:bookmarkEnd w:id="388"/>
      <w:bookmarkEnd w:id="389"/>
      <w:bookmarkEnd w:id="390"/>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顾问服务合同有效期内，协助比选人审查、修订或草拟各类各种合同、协议、制度、章程、确认书、催收函等法律文书。</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起草文书前，委派法律顾问与比选人人员充分沟通，了解需求；对草拟的合同，比选人人员提出意见的，委派法律顾问应修改完善；若草拟合同时遇到专业法律问题的，法律顾问应附加法律意见，提交比选人参考。</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1.2熟悉比选人内控管理要求，通过比选人内控管理系统审核、修改合同，一份合同出具一份法律审核意见书，法律审核意见书须由审核律师署名并加盖单位印章。</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1.3法律顾问完成修改、审查及草拟后的法律文书，其主要内容应齐备，文义应明确，并应具有合法性和有效性，且有利于比选人利益。</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2.对比选人的管理和经营业务提供法律指导和支持。</w:t>
      </w:r>
    </w:p>
    <w:p>
      <w:pPr>
        <w:spacing w:line="460" w:lineRule="exact"/>
        <w:ind w:firstLine="480"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2.1向比选人进行不定期、不定式的基本法律知识宣传，包括讲解法律问题、解答法律咨询、提供行业动态分析等</w:t>
      </w:r>
      <w:r>
        <w:rPr>
          <w:rFonts w:hint="eastAsia" w:ascii="仿宋_GB2312" w:hAnsi="仿宋_GB2312" w:eastAsia="仿宋_GB2312" w:cs="仿宋_GB2312"/>
          <w:color w:val="auto"/>
          <w:sz w:val="24"/>
          <w:highlight w:val="none"/>
          <w:lang w:eastAsia="zh-CN"/>
        </w:rPr>
        <w:t>。</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2.2根据需要向公司提供与经营管理相关的最新法律法规信息或提供公司关注跟进的行业政策法律研究报告，每年免费为公司提供至少2场法律培训讲座。</w:t>
      </w:r>
    </w:p>
    <w:p>
      <w:pPr>
        <w:spacing w:line="460" w:lineRule="exact"/>
        <w:ind w:firstLine="480"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2.3协助公司进行劳资管理，防范劳资纠纷</w:t>
      </w:r>
      <w:r>
        <w:rPr>
          <w:rFonts w:hint="eastAsia" w:ascii="仿宋_GB2312" w:hAnsi="仿宋_GB2312" w:eastAsia="仿宋_GB2312" w:cs="仿宋_GB2312"/>
          <w:color w:val="auto"/>
          <w:sz w:val="24"/>
          <w:highlight w:val="none"/>
          <w:lang w:eastAsia="zh-CN"/>
        </w:rPr>
        <w:t>。</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2.4受比选人邀请</w:t>
      </w:r>
      <w:r>
        <w:rPr>
          <w:rFonts w:hint="eastAsia" w:ascii="仿宋_GB2312" w:hAnsi="仿宋_GB2312" w:eastAsia="仿宋_GB2312" w:cs="仿宋_GB2312"/>
          <w:bCs/>
          <w:color w:val="auto"/>
          <w:sz w:val="24"/>
          <w:highlight w:val="none"/>
        </w:rPr>
        <w:t>列席重大会议，如党支委会、三重一大会、</w:t>
      </w:r>
      <w:r>
        <w:rPr>
          <w:rFonts w:hint="eastAsia" w:ascii="仿宋_GB2312" w:hAnsi="仿宋_GB2312" w:eastAsia="仿宋_GB2312" w:cs="仿宋_GB2312"/>
          <w:bCs/>
          <w:color w:val="auto"/>
          <w:sz w:val="24"/>
          <w:highlight w:val="none"/>
          <w:lang w:val="en-US" w:eastAsia="zh-CN"/>
        </w:rPr>
        <w:t>风控</w:t>
      </w:r>
      <w:r>
        <w:rPr>
          <w:rFonts w:hint="eastAsia" w:ascii="仿宋_GB2312" w:hAnsi="仿宋_GB2312" w:eastAsia="仿宋_GB2312" w:cs="仿宋_GB2312"/>
          <w:bCs/>
          <w:color w:val="auto"/>
          <w:sz w:val="24"/>
          <w:highlight w:val="none"/>
        </w:rPr>
        <w:t>会</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lang w:val="en-US" w:eastAsia="zh-CN"/>
        </w:rPr>
        <w:t>调解会</w:t>
      </w:r>
      <w:r>
        <w:rPr>
          <w:rFonts w:hint="eastAsia" w:ascii="仿宋_GB2312" w:hAnsi="仿宋_GB2312" w:eastAsia="仿宋_GB2312" w:cs="仿宋_GB2312"/>
          <w:bCs/>
          <w:color w:val="auto"/>
          <w:sz w:val="24"/>
          <w:highlight w:val="none"/>
        </w:rPr>
        <w:t>等会议，就相关问题提供法律咨询意见</w:t>
      </w:r>
      <w:r>
        <w:rPr>
          <w:rFonts w:hint="eastAsia" w:ascii="仿宋_GB2312" w:hAnsi="仿宋_GB2312" w:eastAsia="仿宋_GB2312" w:cs="仿宋_GB2312"/>
          <w:color w:val="auto"/>
          <w:sz w:val="24"/>
          <w:highlight w:val="none"/>
        </w:rPr>
        <w:t>。</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2.4为比选人内控制度体系建设提供法律指导，协助比选人对存在法律漏洞或欠缺规范性的工作环节进行整改。</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2.6协助比选人处理经营管理过程中遇到的合同纠纷或其他民事、经济纠纷。</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3.比选人在拟开展的项目或</w:t>
      </w:r>
      <w:r>
        <w:rPr>
          <w:rFonts w:hint="eastAsia" w:ascii="仿宋_GB2312" w:hAnsi="仿宋_GB2312" w:eastAsia="仿宋_GB2312" w:cs="仿宋_GB2312"/>
          <w:color w:val="auto"/>
          <w:sz w:val="24"/>
          <w:highlight w:val="none"/>
          <w:lang w:eastAsia="zh-CN"/>
        </w:rPr>
        <w:t>制定</w:t>
      </w:r>
      <w:r>
        <w:rPr>
          <w:rFonts w:hint="eastAsia" w:ascii="仿宋_GB2312" w:hAnsi="仿宋_GB2312" w:eastAsia="仿宋_GB2312" w:cs="仿宋_GB2312"/>
          <w:color w:val="auto"/>
          <w:sz w:val="24"/>
          <w:highlight w:val="none"/>
        </w:rPr>
        <w:t>的规章制度、业务流程等存在法律障碍时，顾问律师应就如何规避法律风险提供具体建议，并按照比选人需要参与制定符合法律规范的项目实施方案或业务操作流程等。法律顾问应将在比选人业务中接触到的信息交给比选人法律管理人员进行资源共享。</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4.法律顾问在担任法律顾问期间的其他法律服务：根据比选人要求，草拟律师函、声明、公告、致函等法律文件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对与比选人有关的法律事实进行律师见证，必要时出具法律意见书；办理其他属于</w:t>
      </w:r>
      <w:r>
        <w:rPr>
          <w:rFonts w:hint="eastAsia" w:ascii="仿宋_GB2312" w:hAnsi="仿宋_GB2312" w:eastAsia="仿宋_GB2312" w:cs="仿宋_GB2312"/>
          <w:color w:val="auto"/>
          <w:sz w:val="24"/>
          <w:highlight w:val="none"/>
          <w:lang w:eastAsia="zh-CN"/>
        </w:rPr>
        <w:t>2024年度常年法律</w:t>
      </w:r>
      <w:r>
        <w:rPr>
          <w:rFonts w:hint="eastAsia" w:ascii="仿宋_GB2312" w:hAnsi="仿宋_GB2312" w:eastAsia="仿宋_GB2312" w:cs="仿宋_GB2312"/>
          <w:color w:val="auto"/>
          <w:sz w:val="24"/>
          <w:highlight w:val="none"/>
        </w:rPr>
        <w:t>顾问工作范畴的法律事务。</w:t>
      </w:r>
    </w:p>
    <w:p>
      <w:pPr>
        <w:numPr>
          <w:ilvl w:val="255"/>
          <w:numId w:val="0"/>
        </w:numPr>
        <w:spacing w:line="460" w:lineRule="exact"/>
        <w:ind w:firstLine="480" w:firstLineChars="200"/>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5.法律顾问应在比选人提供资料的两个工作日内完成以上工作；同时，根据比选人业务开展需要，法律顾问团队应具备</w:t>
      </w:r>
      <w:r>
        <w:rPr>
          <w:rFonts w:hint="eastAsia" w:ascii="仿宋_GB2312" w:hAnsi="仿宋_GB2312" w:eastAsia="仿宋_GB2312" w:cs="仿宋_GB2312"/>
          <w:color w:val="auto"/>
          <w:sz w:val="24"/>
          <w:highlight w:val="none"/>
          <w:lang w:val="en-US" w:eastAsia="zh-CN"/>
        </w:rPr>
        <w:t>处理国际法律事务的能力以及</w:t>
      </w:r>
      <w:r>
        <w:rPr>
          <w:rFonts w:hint="eastAsia" w:ascii="仿宋_GB2312" w:hAnsi="仿宋_GB2312" w:eastAsia="仿宋_GB2312" w:cs="仿宋_GB2312"/>
          <w:color w:val="auto"/>
          <w:sz w:val="24"/>
          <w:highlight w:val="none"/>
        </w:rPr>
        <w:t>派遣律师赴比选人</w:t>
      </w:r>
      <w:r>
        <w:rPr>
          <w:rFonts w:hint="eastAsia" w:ascii="仿宋_GB2312" w:hAnsi="仿宋_GB2312" w:eastAsia="仿宋_GB2312" w:cs="仿宋_GB2312"/>
          <w:color w:val="auto"/>
          <w:sz w:val="24"/>
          <w:highlight w:val="none"/>
          <w:lang w:val="en-US" w:eastAsia="zh-CN"/>
        </w:rPr>
        <w:t>深圳代表处、香港特别行政区驻地办公地点及其他境外分支机构</w:t>
      </w:r>
      <w:r>
        <w:rPr>
          <w:rFonts w:hint="eastAsia" w:ascii="仿宋_GB2312" w:hAnsi="仿宋_GB2312" w:eastAsia="仿宋_GB2312" w:cs="仿宋_GB2312"/>
          <w:color w:val="auto"/>
          <w:sz w:val="24"/>
          <w:highlight w:val="none"/>
        </w:rPr>
        <w:t>处理相关法律事务的能力。</w:t>
      </w:r>
      <w:r>
        <w:rPr>
          <w:rFonts w:hint="eastAsia" w:ascii="仿宋_GB2312" w:hAnsi="仿宋_GB2312" w:eastAsia="仿宋_GB2312" w:cs="仿宋_GB2312"/>
          <w:color w:val="auto"/>
          <w:sz w:val="24"/>
          <w:highlight w:val="none"/>
          <w:lang w:val="en-US" w:eastAsia="zh-CN"/>
        </w:rPr>
        <w:t>但因比选人要求需要律师出差的，差旅费由比选人承担，不包括在本项目法律顾问服务的比选报价中。</w:t>
      </w:r>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391" w:name="_Toc23471"/>
      <w:bookmarkStart w:id="392" w:name="_Toc12665"/>
      <w:bookmarkStart w:id="393" w:name="_Toc18086"/>
      <w:r>
        <w:rPr>
          <w:rFonts w:hint="eastAsia" w:ascii="仿宋_GB2312" w:hAnsi="仿宋_GB2312" w:eastAsia="仿宋_GB2312" w:cs="仿宋_GB2312"/>
          <w:color w:val="auto"/>
          <w:sz w:val="24"/>
          <w:highlight w:val="none"/>
        </w:rPr>
        <w:t>三、团队要求</w:t>
      </w:r>
      <w:bookmarkEnd w:id="391"/>
      <w:bookmarkEnd w:id="392"/>
      <w:bookmarkEnd w:id="393"/>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1.遵守国家</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、政策，恪守律师职业道德和执业纪律。</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2.忠于职守，依法维护比选人的合法权益。</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3.尽职尽责，提供全方位的优质高效法律服务。</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4.对提出的法律意见、起草的法律文书以及办理的其他法律事务的合法性和有效性负责。</w:t>
      </w:r>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394" w:name="_Toc805"/>
      <w:bookmarkStart w:id="395" w:name="_Toc9226"/>
      <w:bookmarkStart w:id="396" w:name="_Toc19285"/>
      <w:r>
        <w:rPr>
          <w:rFonts w:hint="eastAsia" w:ascii="仿宋_GB2312" w:hAnsi="仿宋_GB2312" w:eastAsia="仿宋_GB2312" w:cs="仿宋_GB2312"/>
          <w:color w:val="auto"/>
          <w:sz w:val="24"/>
          <w:highlight w:val="none"/>
        </w:rPr>
        <w:t>四、组织实施要求及项目服务期限要求</w:t>
      </w:r>
      <w:bookmarkEnd w:id="394"/>
      <w:bookmarkEnd w:id="395"/>
      <w:bookmarkEnd w:id="396"/>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1.法律顾问应及时处理比选人相关法律事务，收集有关资料、审查合同。</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2.比选人遇紧急法律问题，法律顾问应在接到比选人书面或者电话通知之当日，到比选人指定地点提供法律服务，如法律顾问在法院开庭或者出差外</w:t>
      </w:r>
      <w:r>
        <w:rPr>
          <w:rFonts w:hint="eastAsia" w:ascii="仿宋_GB2312" w:hAnsi="仿宋_GB2312" w:eastAsia="仿宋_GB2312" w:cs="仿宋_GB2312"/>
          <w:color w:val="auto"/>
          <w:sz w:val="24"/>
          <w:highlight w:val="none"/>
          <w:lang w:val="en-US" w:eastAsia="zh-CN"/>
        </w:rPr>
        <w:t>地</w:t>
      </w:r>
      <w:r>
        <w:rPr>
          <w:rFonts w:hint="eastAsia" w:ascii="仿宋_GB2312" w:hAnsi="仿宋_GB2312" w:eastAsia="仿宋_GB2312" w:cs="仿宋_GB2312"/>
          <w:color w:val="auto"/>
          <w:sz w:val="24"/>
          <w:highlight w:val="none"/>
        </w:rPr>
        <w:t>律师事务所应指派具备同等资质的律师处理比选人法律事务。</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3.比选人可通过电话等方式向法律顾问咨询法律事务，法律顾问律师除在法院开庭外，应及时</w:t>
      </w:r>
      <w:r>
        <w:rPr>
          <w:rFonts w:hint="eastAsia" w:ascii="仿宋_GB2312" w:hAnsi="仿宋_GB2312" w:eastAsia="仿宋_GB2312" w:cs="仿宋_GB2312"/>
          <w:color w:val="auto"/>
          <w:sz w:val="24"/>
          <w:highlight w:val="none"/>
          <w:lang w:eastAsia="zh-CN"/>
        </w:rPr>
        <w:t>给予</w:t>
      </w:r>
      <w:r>
        <w:rPr>
          <w:rFonts w:hint="eastAsia" w:ascii="仿宋_GB2312" w:hAnsi="仿宋_GB2312" w:eastAsia="仿宋_GB2312" w:cs="仿宋_GB2312"/>
          <w:color w:val="auto"/>
          <w:sz w:val="24"/>
          <w:highlight w:val="none"/>
        </w:rPr>
        <w:t>法律支持。</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4.法律顾问以比选人的名义对外签署法律文件时，必须经比选人同意并书面授权。</w:t>
      </w:r>
    </w:p>
    <w:p>
      <w:pPr>
        <w:spacing w:line="460" w:lineRule="exact"/>
        <w:ind w:firstLine="480" w:firstLineChars="200"/>
        <w:jc w:val="left"/>
        <w:rPr>
          <w:rFonts w:ascii="仿宋_GB2312" w:hAnsi="仿宋_GB2312" w:eastAsia="仿宋_GB2312" w:cs="仿宋_GB2312"/>
          <w:color w:val="auto"/>
          <w:sz w:val="24"/>
          <w:highlight w:val="none"/>
        </w:rPr>
      </w:pPr>
      <w:bookmarkStart w:id="397" w:name="_Toc22920"/>
      <w:r>
        <w:rPr>
          <w:rFonts w:hint="eastAsia" w:ascii="仿宋_GB2312" w:hAnsi="仿宋_GB2312" w:eastAsia="仿宋_GB2312" w:cs="仿宋_GB2312"/>
          <w:color w:val="auto"/>
          <w:sz w:val="24"/>
          <w:highlight w:val="none"/>
        </w:rPr>
        <w:t>6.根据比选人实际需要，参加比选人组织的专项研讨活动。</w:t>
      </w:r>
      <w:bookmarkEnd w:id="397"/>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398" w:name="_Toc5839"/>
      <w:bookmarkStart w:id="399" w:name="_Toc30614"/>
      <w:bookmarkStart w:id="400" w:name="_Toc22639"/>
      <w:r>
        <w:rPr>
          <w:rFonts w:hint="eastAsia" w:ascii="仿宋_GB2312" w:hAnsi="仿宋_GB2312" w:eastAsia="仿宋_GB2312" w:cs="仿宋_GB2312"/>
          <w:color w:val="auto"/>
          <w:sz w:val="24"/>
          <w:highlight w:val="none"/>
        </w:rPr>
        <w:t>五、服务验收及考核要求</w:t>
      </w:r>
      <w:bookmarkEnd w:id="398"/>
      <w:bookmarkEnd w:id="399"/>
      <w:bookmarkEnd w:id="400"/>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以比选人对比选申请人派出律师各项服务的服务结果评价为准。</w:t>
      </w:r>
    </w:p>
    <w:p>
      <w:pPr>
        <w:spacing w:line="460" w:lineRule="exact"/>
        <w:ind w:firstLine="480" w:firstLineChars="200"/>
        <w:jc w:val="left"/>
        <w:outlineLvl w:val="1"/>
        <w:rPr>
          <w:rFonts w:ascii="仿宋_GB2312" w:hAnsi="仿宋_GB2312" w:eastAsia="仿宋_GB2312" w:cs="仿宋_GB2312"/>
          <w:color w:val="auto"/>
          <w:sz w:val="24"/>
          <w:highlight w:val="none"/>
        </w:rPr>
      </w:pPr>
      <w:bookmarkStart w:id="401" w:name="_Toc31114"/>
      <w:bookmarkStart w:id="402" w:name="_Toc30152"/>
      <w:bookmarkStart w:id="403" w:name="_Toc492"/>
      <w:r>
        <w:rPr>
          <w:rFonts w:hint="eastAsia" w:ascii="仿宋_GB2312" w:hAnsi="仿宋_GB2312" w:eastAsia="仿宋_GB2312" w:cs="仿宋_GB2312"/>
          <w:color w:val="auto"/>
          <w:sz w:val="24"/>
          <w:highlight w:val="none"/>
        </w:rPr>
        <w:t>六、其他要求</w:t>
      </w:r>
      <w:bookmarkEnd w:id="401"/>
      <w:bookmarkEnd w:id="402"/>
      <w:bookmarkEnd w:id="403"/>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法律顾问律师有如下行为的，比选人可依法解除法律服务协议，并要求赔偿损失：</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1.在法律服务协议有效期内担任同业竞争关系企业的法律顾问，或者受理有同业竞争关系企业的法律事务；</w:t>
      </w:r>
    </w:p>
    <w:p>
      <w:pPr>
        <w:spacing w:line="4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2.在诉讼或者仲裁活动中担任对方当事人（含外聘法律顾问受聘的其他企业或者个人）的代理人；</w:t>
      </w:r>
    </w:p>
    <w:p>
      <w:pPr>
        <w:spacing w:line="46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3.其他损害比选人合法权益的行为。</w:t>
      </w:r>
      <w:bookmarkStart w:id="404" w:name="_Toc26177"/>
      <w:bookmarkStart w:id="405" w:name="_Toc25653"/>
      <w:bookmarkStart w:id="406" w:name="_Toc13978"/>
      <w:bookmarkStart w:id="407" w:name="_Toc25574"/>
      <w:bookmarkStart w:id="408" w:name="_Toc30236"/>
      <w:bookmarkStart w:id="409" w:name="_Toc12823"/>
      <w:bookmarkStart w:id="410" w:name="_Toc27729"/>
      <w:bookmarkStart w:id="411" w:name="_Toc5556"/>
      <w:bookmarkStart w:id="412" w:name="_Toc17709"/>
      <w:bookmarkStart w:id="413" w:name="_Toc26915"/>
      <w:bookmarkStart w:id="414" w:name="_Toc5592"/>
      <w:bookmarkStart w:id="415" w:name="_Toc3519"/>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2"/>
        <w:rPr>
          <w:rFonts w:hint="eastAsia"/>
        </w:rPr>
      </w:pPr>
    </w:p>
    <w:p>
      <w:pPr>
        <w:pStyle w:val="2"/>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adjustRightInd w:val="0"/>
        <w:spacing w:after="156" w:afterLines="50" w:line="460" w:lineRule="exact"/>
        <w:jc w:val="both"/>
        <w:outlineLvl w:val="0"/>
        <w:rPr>
          <w:rFonts w:hint="eastAsia" w:ascii="仿宋_GB2312" w:hAnsi="仿宋_GB2312" w:eastAsia="仿宋_GB2312" w:cs="仿宋_GB2312"/>
          <w:b/>
          <w:bCs/>
          <w:color w:val="auto"/>
          <w:kern w:val="44"/>
          <w:sz w:val="32"/>
          <w:szCs w:val="32"/>
          <w:highlight w:val="none"/>
        </w:rPr>
      </w:pPr>
    </w:p>
    <w:p>
      <w:pPr>
        <w:adjustRightInd w:val="0"/>
        <w:spacing w:after="156" w:afterLines="50" w:line="460" w:lineRule="exact"/>
        <w:jc w:val="center"/>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44"/>
          <w:sz w:val="32"/>
          <w:szCs w:val="32"/>
          <w:highlight w:val="none"/>
        </w:rPr>
        <w:t xml:space="preserve">第六章  </w:t>
      </w:r>
      <w:bookmarkEnd w:id="404"/>
      <w:r>
        <w:rPr>
          <w:rFonts w:hint="eastAsia" w:ascii="仿宋_GB2312" w:hAnsi="仿宋_GB2312" w:eastAsia="仿宋_GB2312" w:cs="仿宋_GB2312"/>
          <w:b/>
          <w:bCs/>
          <w:color w:val="auto"/>
          <w:kern w:val="44"/>
          <w:sz w:val="32"/>
          <w:szCs w:val="32"/>
          <w:highlight w:val="none"/>
        </w:rPr>
        <w:t>评审</w:t>
      </w:r>
      <w:bookmarkEnd w:id="405"/>
      <w:bookmarkEnd w:id="406"/>
      <w:bookmarkEnd w:id="407"/>
      <w:bookmarkEnd w:id="408"/>
      <w:bookmarkEnd w:id="409"/>
      <w:bookmarkEnd w:id="410"/>
      <w:bookmarkEnd w:id="411"/>
      <w:bookmarkEnd w:id="412"/>
      <w:bookmarkEnd w:id="413"/>
      <w:bookmarkEnd w:id="414"/>
      <w:bookmarkEnd w:id="415"/>
      <w:r>
        <w:rPr>
          <w:rFonts w:hint="eastAsia" w:ascii="仿宋_GB2312" w:hAnsi="仿宋_GB2312" w:eastAsia="仿宋_GB2312" w:cs="仿宋_GB2312"/>
          <w:b/>
          <w:bCs/>
          <w:color w:val="auto"/>
          <w:kern w:val="44"/>
          <w:sz w:val="32"/>
          <w:szCs w:val="32"/>
          <w:highlight w:val="none"/>
        </w:rPr>
        <w:t>办法</w:t>
      </w:r>
    </w:p>
    <w:p>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一、评审委员会</w:t>
      </w:r>
    </w:p>
    <w:p>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1.评审工作由比选人相关成员组建的评审委员会负责。</w:t>
      </w:r>
    </w:p>
    <w:p>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2.与本次比选申请人存在经济利益或亲属关系的成员应当自行回避。</w:t>
      </w:r>
    </w:p>
    <w:p>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二、评审程序</w:t>
      </w:r>
    </w:p>
    <w:p>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根据各比选申请人递交的比选申请书按照以下程序进行评审工作：</w:t>
      </w:r>
    </w:p>
    <w:p>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对比选申请文件进行初审（包括资格性审查和实质性审查，剔除无效比选申请书）；按照比选人制定的《评审标准》对通过初审的申请文件逐项打分；按照得分高低排序，评审委员会将推荐1-3名作为中选候选人。</w:t>
      </w:r>
    </w:p>
    <w:p>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bookmarkStart w:id="416" w:name="_Toc6128"/>
      <w:bookmarkStart w:id="417" w:name="_Toc4845"/>
      <w:bookmarkStart w:id="418" w:name="_Toc9298"/>
      <w:r>
        <w:rPr>
          <w:rFonts w:hint="eastAsia" w:ascii="仿宋_GB2312" w:hAnsi="仿宋_GB2312" w:eastAsia="仿宋_GB2312" w:cs="仿宋_GB2312"/>
          <w:b/>
          <w:color w:val="auto"/>
          <w:kern w:val="0"/>
          <w:sz w:val="24"/>
          <w:highlight w:val="none"/>
          <w:lang w:val="zh-CN"/>
        </w:rPr>
        <w:t>三、评审标准</w:t>
      </w:r>
      <w:bookmarkEnd w:id="416"/>
      <w:bookmarkEnd w:id="417"/>
      <w:bookmarkEnd w:id="418"/>
    </w:p>
    <w:p>
      <w:pPr>
        <w:spacing w:line="400" w:lineRule="exact"/>
        <w:ind w:firstLine="482" w:firstLineChars="200"/>
        <w:jc w:val="center"/>
        <w:rPr>
          <w:rFonts w:ascii="Times New Roman" w:hAnsi="Times New Roman" w:eastAsia="仿宋" w:cs="Times New Roman"/>
          <w:b/>
          <w:color w:val="auto"/>
          <w:kern w:val="0"/>
          <w:sz w:val="24"/>
          <w:highlight w:val="none"/>
        </w:rPr>
      </w:pPr>
      <w:bookmarkStart w:id="419" w:name="_Ref77046541"/>
      <w:r>
        <w:rPr>
          <w:rFonts w:ascii="Times New Roman" w:hAnsi="Times New Roman" w:eastAsia="仿宋" w:cs="Times New Roman"/>
          <w:b/>
          <w:color w:val="auto"/>
          <w:kern w:val="0"/>
          <w:sz w:val="24"/>
          <w:highlight w:val="none"/>
        </w:rPr>
        <w:t>资格评审表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评审项</w:t>
            </w:r>
          </w:p>
        </w:tc>
        <w:tc>
          <w:tcPr>
            <w:tcW w:w="2752"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评审因素</w:t>
            </w:r>
          </w:p>
        </w:tc>
        <w:tc>
          <w:tcPr>
            <w:tcW w:w="3734"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形式评审标准</w:t>
            </w: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比选申请人名称</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签字、盖章</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副本份数</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报价唯一</w:t>
            </w:r>
          </w:p>
        </w:tc>
        <w:tc>
          <w:tcPr>
            <w:tcW w:w="3734" w:type="dxa"/>
            <w:vAlign w:val="center"/>
          </w:tcPr>
          <w:p>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资格评审标准</w:t>
            </w: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营业执照</w:t>
            </w:r>
          </w:p>
        </w:tc>
        <w:tc>
          <w:tcPr>
            <w:tcW w:w="3734" w:type="dxa"/>
            <w:vAlign w:val="center"/>
          </w:tcPr>
          <w:p>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信誉要求</w:t>
            </w:r>
          </w:p>
        </w:tc>
        <w:tc>
          <w:tcPr>
            <w:tcW w:w="3734" w:type="dxa"/>
            <w:vAlign w:val="center"/>
          </w:tcPr>
          <w:p>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业绩材料</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资质材料</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其他要求</w:t>
            </w:r>
          </w:p>
        </w:tc>
        <w:tc>
          <w:tcPr>
            <w:tcW w:w="3734" w:type="dxa"/>
            <w:vAlign w:val="center"/>
          </w:tcPr>
          <w:p>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响应性评审标准</w:t>
            </w:r>
          </w:p>
        </w:tc>
        <w:tc>
          <w:tcPr>
            <w:tcW w:w="2752" w:type="dxa"/>
            <w:vAlign w:val="center"/>
          </w:tcPr>
          <w:p>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最高限价</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818" w:type="dxa"/>
            <w:vMerge w:val="continue"/>
            <w:vAlign w:val="center"/>
          </w:tcPr>
          <w:p>
            <w:pPr>
              <w:spacing w:line="400" w:lineRule="exact"/>
              <w:jc w:val="center"/>
              <w:rPr>
                <w:rFonts w:ascii="Times New Roman" w:hAnsi="Times New Roman" w:eastAsia="仿宋" w:cs="Times New Roman"/>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履约期限</w:t>
            </w:r>
          </w:p>
        </w:tc>
        <w:tc>
          <w:tcPr>
            <w:tcW w:w="3734" w:type="dxa"/>
            <w:vAlign w:val="center"/>
          </w:tcPr>
          <w:p>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比选有效期</w:t>
            </w:r>
          </w:p>
        </w:tc>
        <w:tc>
          <w:tcPr>
            <w:tcW w:w="3734" w:type="dxa"/>
            <w:vAlign w:val="center"/>
          </w:tcPr>
          <w:p>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color w:val="auto"/>
                <w:sz w:val="22"/>
                <w:szCs w:val="22"/>
                <w:highlight w:val="none"/>
              </w:rPr>
              <w:t>符合第二章第二节总则 第10项规定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bl>
    <w:p>
      <w:pPr>
        <w:spacing w:line="400" w:lineRule="exact"/>
        <w:ind w:firstLine="482" w:firstLineChars="200"/>
        <w:jc w:val="center"/>
        <w:rPr>
          <w:rFonts w:ascii="Times New Roman" w:hAnsi="Times New Roman" w:eastAsia="仿宋" w:cs="Times New Roman"/>
          <w:b/>
          <w:color w:val="auto"/>
          <w:kern w:val="0"/>
          <w:sz w:val="24"/>
          <w:highlight w:val="none"/>
        </w:rPr>
      </w:pPr>
      <w:r>
        <w:rPr>
          <w:rFonts w:ascii="Times New Roman" w:hAnsi="Times New Roman" w:eastAsia="仿宋" w:cs="Times New Roman"/>
          <w:b/>
          <w:color w:val="auto"/>
          <w:kern w:val="0"/>
          <w:sz w:val="24"/>
          <w:highlight w:val="none"/>
        </w:rPr>
        <w:br w:type="page"/>
      </w:r>
    </w:p>
    <w:p>
      <w:pPr>
        <w:spacing w:line="400" w:lineRule="exact"/>
        <w:ind w:firstLine="643" w:firstLineChars="200"/>
        <w:jc w:val="center"/>
        <w:rPr>
          <w:rFonts w:ascii="Times New Roman" w:hAnsi="Times New Roman" w:eastAsia="仿宋" w:cs="Times New Roman"/>
          <w:b/>
          <w:color w:val="auto"/>
          <w:kern w:val="0"/>
          <w:sz w:val="32"/>
          <w:szCs w:val="32"/>
          <w:highlight w:val="none"/>
        </w:rPr>
      </w:pPr>
      <w:r>
        <w:rPr>
          <w:rFonts w:ascii="Times New Roman" w:hAnsi="Times New Roman" w:eastAsia="仿宋" w:cs="Times New Roman"/>
          <w:b/>
          <w:color w:val="auto"/>
          <w:kern w:val="0"/>
          <w:sz w:val="32"/>
          <w:szCs w:val="32"/>
          <w:highlight w:val="none"/>
        </w:rPr>
        <w:t>详细评审</w:t>
      </w:r>
      <w:r>
        <w:rPr>
          <w:rFonts w:hint="eastAsia" w:ascii="Times New Roman" w:hAnsi="Times New Roman" w:eastAsia="仿宋" w:cs="Times New Roman"/>
          <w:b/>
          <w:color w:val="auto"/>
          <w:kern w:val="0"/>
          <w:sz w:val="32"/>
          <w:szCs w:val="32"/>
          <w:highlight w:val="none"/>
        </w:rPr>
        <w:t>表</w:t>
      </w:r>
      <w:bookmarkEnd w:id="419"/>
      <w:bookmarkStart w:id="420" w:name="_Toc8490"/>
      <w:bookmarkStart w:id="421" w:name="_Toc19015"/>
    </w:p>
    <w:tbl>
      <w:tblPr>
        <w:tblStyle w:val="1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504"/>
        <w:gridCol w:w="867"/>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pacing w:val="-20"/>
                <w:sz w:val="24"/>
                <w:highlight w:val="none"/>
              </w:rPr>
            </w:pPr>
            <w:r>
              <w:rPr>
                <w:rFonts w:hint="eastAsia" w:ascii="仿宋_GB2312" w:hAnsi="仿宋_GB2312" w:eastAsia="仿宋_GB2312" w:cs="仿宋_GB2312"/>
                <w:b/>
                <w:bCs/>
                <w:color w:val="auto"/>
                <w:spacing w:val="-20"/>
                <w:sz w:val="24"/>
                <w:highlight w:val="none"/>
              </w:rPr>
              <w:t>序号</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pacing w:val="-20"/>
                <w:sz w:val="24"/>
                <w:highlight w:val="none"/>
              </w:rPr>
            </w:pPr>
            <w:r>
              <w:rPr>
                <w:rFonts w:hint="eastAsia" w:ascii="仿宋_GB2312" w:hAnsi="仿宋_GB2312" w:eastAsia="仿宋_GB2312" w:cs="仿宋_GB2312"/>
                <w:b/>
                <w:bCs/>
                <w:color w:val="auto"/>
                <w:spacing w:val="-20"/>
                <w:sz w:val="24"/>
                <w:highlight w:val="none"/>
              </w:rPr>
              <w:t>评审内容</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pacing w:val="-20"/>
                <w:sz w:val="24"/>
                <w:highlight w:val="none"/>
              </w:rPr>
            </w:pPr>
            <w:r>
              <w:rPr>
                <w:rFonts w:hint="eastAsia" w:ascii="仿宋_GB2312" w:hAnsi="仿宋_GB2312" w:eastAsia="仿宋_GB2312" w:cs="仿宋_GB2312"/>
                <w:b/>
                <w:bCs/>
                <w:color w:val="auto"/>
                <w:spacing w:val="-20"/>
                <w:sz w:val="24"/>
                <w:highlight w:val="none"/>
              </w:rPr>
              <w:t>分值</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bCs/>
                <w:color w:val="auto"/>
                <w:spacing w:val="-20"/>
                <w:sz w:val="24"/>
                <w:highlight w:val="none"/>
              </w:rPr>
            </w:pPr>
            <w:r>
              <w:rPr>
                <w:rFonts w:hint="eastAsia" w:ascii="仿宋_GB2312" w:hAnsi="仿宋_GB2312" w:eastAsia="仿宋_GB2312" w:cs="仿宋_GB2312"/>
                <w:b/>
                <w:bCs/>
                <w:color w:val="auto"/>
                <w:spacing w:val="-2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highlight w:val="none"/>
              </w:rPr>
            </w:pPr>
            <w:r>
              <w:rPr>
                <w:rFonts w:hint="eastAsia" w:ascii="仿宋_GB2312" w:hAnsi="仿宋_GB2312" w:eastAsia="仿宋_GB2312" w:cs="仿宋_GB2312"/>
                <w:color w:val="auto"/>
                <w:spacing w:val="-20"/>
                <w:sz w:val="24"/>
                <w:highlight w:val="none"/>
              </w:rPr>
              <w:t>1</w:t>
            </w:r>
          </w:p>
        </w:tc>
        <w:tc>
          <w:tcPr>
            <w:tcW w:w="15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综合实力</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15</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根据参选单位的综合实力、人力资源等进行综合排名，包括成立年限、人员规模、财务状况、荣誉等。其中优：13</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15分；良：9</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12分；中：5</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8分；差：1</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4分。名次根据实际情况可以并列。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highlight w:val="none"/>
              </w:rPr>
            </w:pPr>
            <w:r>
              <w:rPr>
                <w:rFonts w:hint="eastAsia" w:ascii="仿宋_GB2312" w:hAnsi="仿宋_GB2312" w:eastAsia="仿宋_GB2312" w:cs="仿宋_GB2312"/>
                <w:color w:val="auto"/>
                <w:spacing w:val="-20"/>
                <w:sz w:val="24"/>
                <w:highlight w:val="none"/>
              </w:rPr>
              <w:t>2</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人员规模</w:t>
            </w:r>
          </w:p>
        </w:tc>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20"/>
                <w:sz w:val="24"/>
                <w:szCs w:val="24"/>
                <w:highlight w:val="none"/>
                <w:lang w:eastAsia="zh-CN"/>
              </w:rPr>
            </w:pPr>
            <w:r>
              <w:rPr>
                <w:rFonts w:hint="eastAsia" w:ascii="仿宋_GB2312" w:hAnsi="仿宋_GB2312" w:eastAsia="仿宋_GB2312" w:cs="仿宋_GB2312"/>
                <w:color w:val="auto"/>
                <w:spacing w:val="-20"/>
                <w:sz w:val="24"/>
                <w:szCs w:val="24"/>
                <w:highlight w:val="none"/>
                <w:lang w:val="en-US" w:eastAsia="zh-CN"/>
              </w:rPr>
              <w:t>5</w:t>
            </w:r>
          </w:p>
        </w:tc>
        <w:tc>
          <w:tcPr>
            <w:tcW w:w="61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所参选律所或分支机构具备一定的经营规模，团队人数能满足业务开展需求。律师人数150以上人得</w:t>
            </w:r>
            <w:r>
              <w:rPr>
                <w:rFonts w:hint="eastAsia" w:ascii="仿宋_GB2312" w:hAnsi="仿宋_GB2312" w:eastAsia="仿宋_GB2312" w:cs="仿宋_GB2312"/>
                <w:color w:val="auto"/>
                <w:spacing w:val="-20"/>
                <w:sz w:val="24"/>
                <w:szCs w:val="24"/>
                <w:highlight w:val="none"/>
                <w:lang w:val="en-US" w:eastAsia="zh-CN"/>
              </w:rPr>
              <w:t>5</w:t>
            </w:r>
            <w:r>
              <w:rPr>
                <w:rFonts w:hint="eastAsia" w:ascii="仿宋_GB2312" w:hAnsi="仿宋_GB2312" w:eastAsia="仿宋_GB2312" w:cs="仿宋_GB2312"/>
                <w:color w:val="auto"/>
                <w:spacing w:val="-20"/>
                <w:sz w:val="24"/>
                <w:szCs w:val="24"/>
                <w:highlight w:val="none"/>
              </w:rPr>
              <w:t>分，100</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149人得</w:t>
            </w:r>
            <w:r>
              <w:rPr>
                <w:rFonts w:hint="eastAsia" w:ascii="仿宋_GB2312" w:hAnsi="仿宋_GB2312" w:eastAsia="仿宋_GB2312" w:cs="仿宋_GB2312"/>
                <w:color w:val="auto"/>
                <w:spacing w:val="-20"/>
                <w:sz w:val="24"/>
                <w:szCs w:val="24"/>
                <w:highlight w:val="none"/>
                <w:lang w:val="en-US" w:eastAsia="zh-CN"/>
              </w:rPr>
              <w:t>4</w:t>
            </w:r>
            <w:r>
              <w:rPr>
                <w:rFonts w:hint="eastAsia" w:ascii="仿宋_GB2312" w:hAnsi="仿宋_GB2312" w:eastAsia="仿宋_GB2312" w:cs="仿宋_GB2312"/>
                <w:color w:val="auto"/>
                <w:spacing w:val="-20"/>
                <w:sz w:val="24"/>
                <w:szCs w:val="24"/>
                <w:highlight w:val="none"/>
              </w:rPr>
              <w:t>分，50</w:t>
            </w:r>
            <w:r>
              <w:rPr>
                <w:rFonts w:hint="eastAsia" w:ascii="仿宋_GB2312" w:hAnsi="仿宋_GB2312" w:eastAsia="仿宋_GB2312" w:cs="仿宋_GB2312"/>
                <w:color w:val="auto"/>
                <w:spacing w:val="-20"/>
                <w:sz w:val="24"/>
                <w:szCs w:val="24"/>
                <w:highlight w:val="none"/>
                <w:lang w:eastAsia="zh-CN"/>
              </w:rPr>
              <w:t>—</w:t>
            </w:r>
            <w:r>
              <w:rPr>
                <w:rFonts w:hint="eastAsia" w:ascii="仿宋_GB2312" w:hAnsi="仿宋_GB2312" w:eastAsia="仿宋_GB2312" w:cs="仿宋_GB2312"/>
                <w:color w:val="auto"/>
                <w:spacing w:val="-20"/>
                <w:sz w:val="24"/>
                <w:szCs w:val="24"/>
                <w:highlight w:val="none"/>
              </w:rPr>
              <w:t>99人得3分，少于50人得0分。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57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highlight w:val="none"/>
              </w:rPr>
            </w:pPr>
            <w:r>
              <w:rPr>
                <w:rFonts w:hint="eastAsia" w:ascii="仿宋_GB2312" w:hAnsi="仿宋_GB2312" w:eastAsia="仿宋_GB2312" w:cs="仿宋_GB2312"/>
                <w:color w:val="auto"/>
                <w:spacing w:val="-20"/>
                <w:sz w:val="24"/>
                <w:highlight w:val="none"/>
              </w:rPr>
              <w:t>3</w:t>
            </w:r>
          </w:p>
        </w:tc>
        <w:tc>
          <w:tcPr>
            <w:tcW w:w="15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团队服务经验及相关资质</w:t>
            </w:r>
          </w:p>
        </w:tc>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ascii="仿宋_GB2312" w:hAnsi="仿宋_GB2312" w:eastAsia="仿宋_GB2312" w:cs="仿宋_GB2312"/>
                <w:color w:val="auto"/>
                <w:spacing w:val="-20"/>
                <w:sz w:val="24"/>
                <w:szCs w:val="24"/>
                <w:highlight w:val="none"/>
              </w:rPr>
              <w:t>31</w:t>
            </w:r>
          </w:p>
        </w:tc>
        <w:tc>
          <w:tcPr>
            <w:tcW w:w="61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3"/>
              <w:rPr>
                <w:rFonts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国有企业常年法律顾问经验：项目负责人具有10年以上律师执业经历，近三年至少具有担任1个国有企业常年法律服务项目负责人经验，需提供顾问合同复印件等、顾问单位规模相关佐证材料。（每增加1个业绩得</w:t>
            </w:r>
            <w:r>
              <w:rPr>
                <w:rFonts w:ascii="仿宋_GB2312" w:hAnsi="仿宋_GB2312" w:eastAsia="仿宋_GB2312" w:cs="仿宋_GB2312"/>
                <w:color w:val="auto"/>
                <w:spacing w:val="-20"/>
                <w:kern w:val="2"/>
                <w:sz w:val="24"/>
                <w:szCs w:val="24"/>
                <w:highlight w:val="none"/>
                <w:lang w:val="en-US" w:eastAsia="zh-CN" w:bidi="ar-SA"/>
              </w:rPr>
              <w:t>3</w:t>
            </w:r>
            <w:r>
              <w:rPr>
                <w:rFonts w:hint="eastAsia" w:ascii="仿宋_GB2312" w:hAnsi="仿宋_GB2312" w:eastAsia="仿宋_GB2312" w:cs="仿宋_GB2312"/>
                <w:color w:val="auto"/>
                <w:spacing w:val="-20"/>
                <w:kern w:val="2"/>
                <w:sz w:val="24"/>
                <w:szCs w:val="24"/>
                <w:highlight w:val="none"/>
                <w:lang w:val="en-US" w:eastAsia="zh-CN" w:bidi="ar-SA"/>
              </w:rPr>
              <w:t>分，满分9分）</w:t>
            </w:r>
          </w:p>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3"/>
              <w:rPr>
                <w:rFonts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国有企业专项法律服务经验：项目负责人及团队成员为国有企业提供专项法律服务，需提供合同复印件等相关佐证材料。（每个增加1个业绩得</w:t>
            </w:r>
            <w:r>
              <w:rPr>
                <w:rFonts w:ascii="仿宋_GB2312" w:hAnsi="仿宋_GB2312" w:eastAsia="仿宋_GB2312" w:cs="仿宋_GB2312"/>
                <w:color w:val="auto"/>
                <w:spacing w:val="-20"/>
                <w:kern w:val="2"/>
                <w:sz w:val="24"/>
                <w:szCs w:val="24"/>
                <w:highlight w:val="none"/>
                <w:lang w:val="en-US" w:eastAsia="zh-CN" w:bidi="ar-SA"/>
              </w:rPr>
              <w:t>2</w:t>
            </w:r>
            <w:r>
              <w:rPr>
                <w:rFonts w:hint="eastAsia" w:ascii="仿宋_GB2312" w:hAnsi="仿宋_GB2312" w:eastAsia="仿宋_GB2312" w:cs="仿宋_GB2312"/>
                <w:color w:val="auto"/>
                <w:spacing w:val="-20"/>
                <w:kern w:val="2"/>
                <w:sz w:val="24"/>
                <w:szCs w:val="24"/>
                <w:highlight w:val="none"/>
                <w:lang w:val="en-US" w:eastAsia="zh-CN" w:bidi="ar-SA"/>
              </w:rPr>
              <w:t>分，满分6分）</w:t>
            </w:r>
          </w:p>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3"/>
              <w:rPr>
                <w:rFonts w:hint="eastAsia"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国有企业诉讼/仲裁法律服务经验：项目负责人及团队成员为国有企业代理国际贸易、物流加工、大宗仓储、供应链管理以及工程建设等领域的重大民事案件并胜诉，提供判决书、裁定书等相关佐证材料。（每增加一个业绩得2分，满分6分）</w:t>
            </w:r>
          </w:p>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3"/>
              <w:rPr>
                <w:rFonts w:hint="eastAsia"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若有熟悉境外、国际法律法规：熟悉境外、国际法律法规相关条例或具有相关资质，提供佐证材料。</w:t>
            </w:r>
          </w:p>
          <w:p>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outlineLvl w:val="3"/>
              <w:rPr>
                <w:rFonts w:hint="default" w:ascii="仿宋_GB2312" w:hAnsi="仿宋_GB2312" w:eastAsia="仿宋_GB2312" w:cs="仿宋_GB2312"/>
                <w:color w:val="auto"/>
                <w:spacing w:val="-20"/>
                <w:kern w:val="2"/>
                <w:sz w:val="24"/>
                <w:szCs w:val="24"/>
                <w:highlight w:val="none"/>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（每增加一个业绩得2分，满分4分）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pacing w:val="-20"/>
                <w:sz w:val="24"/>
                <w:szCs w:val="24"/>
                <w:highlight w:val="none"/>
                <w:lang w:val="en-US" w:eastAsia="zh-CN"/>
              </w:rPr>
            </w:pPr>
            <w:r>
              <w:rPr>
                <w:rFonts w:hint="eastAsia" w:ascii="仿宋_GB2312" w:hAnsi="仿宋_GB2312" w:eastAsia="仿宋_GB2312" w:cs="仿宋_GB2312"/>
                <w:color w:val="auto"/>
                <w:spacing w:val="-20"/>
                <w:sz w:val="24"/>
                <w:szCs w:val="24"/>
                <w:highlight w:val="none"/>
                <w:lang w:val="en-US" w:eastAsia="zh-CN"/>
              </w:rPr>
              <w:t>若有境外项目经营经验：总部或分支机构对境外地区</w:t>
            </w:r>
            <w:r>
              <w:rPr>
                <w:rFonts w:hint="default" w:ascii="仿宋_GB2312" w:hAnsi="仿宋_GB2312" w:eastAsia="仿宋_GB2312" w:cs="仿宋_GB2312"/>
                <w:color w:val="auto"/>
                <w:spacing w:val="-20"/>
                <w:sz w:val="24"/>
                <w:szCs w:val="24"/>
                <w:highlight w:val="none"/>
                <w:lang w:val="en-US" w:eastAsia="zh-CN"/>
              </w:rPr>
              <w:t>/</w:t>
            </w:r>
            <w:r>
              <w:rPr>
                <w:rFonts w:hint="eastAsia" w:ascii="仿宋_GB2312" w:hAnsi="仿宋_GB2312" w:eastAsia="仿宋_GB2312" w:cs="仿宋_GB2312"/>
                <w:color w:val="auto"/>
                <w:spacing w:val="-20"/>
                <w:sz w:val="24"/>
                <w:szCs w:val="24"/>
                <w:highlight w:val="none"/>
                <w:lang w:val="en-US" w:eastAsia="zh-CN"/>
              </w:rPr>
              <w:t>国家企业、社会团体、法人机构提供过贸易业务、金融业务、投资业务等经营相关的法律服务，需提供佐证材料。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3"/>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auto"/>
                <w:spacing w:val="-20"/>
                <w:kern w:val="2"/>
                <w:sz w:val="24"/>
                <w:szCs w:val="24"/>
                <w:highlight w:val="none"/>
                <w:lang w:val="en-US" w:eastAsia="zh-CN" w:bidi="ar-SA"/>
              </w:rPr>
              <w:t>（每增加一个业绩得2分，满分6分）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highlight w:val="none"/>
              </w:rPr>
            </w:pPr>
          </w:p>
        </w:tc>
        <w:tc>
          <w:tcPr>
            <w:tcW w:w="150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p>
        </w:tc>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ascii="仿宋_GB2312" w:hAnsi="仿宋_GB2312" w:eastAsia="仿宋_GB2312" w:cs="仿宋_GB2312"/>
                <w:color w:val="auto"/>
                <w:spacing w:val="-20"/>
                <w:sz w:val="24"/>
                <w:szCs w:val="24"/>
                <w:highlight w:val="none"/>
              </w:rPr>
              <w:t>9</w:t>
            </w:r>
          </w:p>
        </w:tc>
        <w:tc>
          <w:tcPr>
            <w:tcW w:w="61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项目负责人或服务团队成员具有税务师、企业高级合规师、</w:t>
            </w:r>
            <w:r>
              <w:rPr>
                <w:rFonts w:hint="eastAsia" w:ascii="仿宋_GB2312" w:hAnsi="仿宋_GB2312" w:eastAsia="仿宋_GB2312" w:cs="仿宋_GB2312"/>
                <w:color w:val="auto"/>
                <w:spacing w:val="-20"/>
                <w:sz w:val="24"/>
                <w:szCs w:val="24"/>
                <w:highlight w:val="none"/>
                <w:lang w:val="en-US" w:eastAsia="zh-CN"/>
              </w:rPr>
              <w:t>国际注册会计</w:t>
            </w:r>
            <w:r>
              <w:rPr>
                <w:rFonts w:hint="eastAsia" w:ascii="仿宋_GB2312" w:hAnsi="仿宋_GB2312" w:eastAsia="仿宋_GB2312" w:cs="仿宋_GB2312"/>
                <w:color w:val="auto"/>
                <w:spacing w:val="-20"/>
                <w:sz w:val="24"/>
                <w:szCs w:val="24"/>
                <w:highlight w:val="none"/>
              </w:rPr>
              <w:t>师资质的，每提供一个资质得3分，满分9分。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20"/>
                <w:sz w:val="24"/>
                <w:highlight w:val="none"/>
              </w:rPr>
            </w:pPr>
            <w:r>
              <w:rPr>
                <w:rFonts w:hint="eastAsia" w:ascii="仿宋_GB2312" w:hAnsi="仿宋_GB2312" w:eastAsia="仿宋_GB2312" w:cs="仿宋_GB2312"/>
                <w:color w:val="auto"/>
                <w:spacing w:val="-20"/>
                <w:sz w:val="24"/>
                <w:highlight w:val="none"/>
              </w:rPr>
              <w:t>4</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服务方案</w:t>
            </w:r>
          </w:p>
        </w:tc>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2</w:t>
            </w:r>
            <w:r>
              <w:rPr>
                <w:rFonts w:ascii="仿宋_GB2312" w:hAnsi="仿宋_GB2312" w:eastAsia="仿宋_GB2312" w:cs="仿宋_GB2312"/>
                <w:color w:val="auto"/>
                <w:spacing w:val="-20"/>
                <w:sz w:val="24"/>
                <w:szCs w:val="24"/>
                <w:highlight w:val="none"/>
              </w:rPr>
              <w:t>5</w:t>
            </w:r>
          </w:p>
        </w:tc>
        <w:tc>
          <w:tcPr>
            <w:tcW w:w="61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服务方案详细、合理可行，有针对性，得1</w:t>
            </w:r>
            <w:r>
              <w:rPr>
                <w:rFonts w:ascii="仿宋_GB2312" w:hAnsi="仿宋_GB2312" w:eastAsia="仿宋_GB2312" w:cs="仿宋_GB2312"/>
                <w:color w:val="auto"/>
                <w:spacing w:val="-20"/>
                <w:sz w:val="24"/>
                <w:szCs w:val="24"/>
                <w:highlight w:val="none"/>
              </w:rPr>
              <w:t>5</w:t>
            </w:r>
            <w:r>
              <w:rPr>
                <w:rFonts w:hint="eastAsia" w:ascii="仿宋_GB2312" w:hAnsi="仿宋_GB2312" w:eastAsia="仿宋_GB2312" w:cs="仿宋_GB2312"/>
                <w:color w:val="auto"/>
                <w:spacing w:val="-20"/>
                <w:sz w:val="24"/>
                <w:szCs w:val="24"/>
                <w:highlight w:val="none"/>
                <w:lang w:eastAsia="zh-CN"/>
              </w:rPr>
              <w:t>—</w:t>
            </w:r>
            <w:r>
              <w:rPr>
                <w:rFonts w:ascii="仿宋_GB2312" w:hAnsi="仿宋_GB2312" w:eastAsia="仿宋_GB2312" w:cs="仿宋_GB2312"/>
                <w:color w:val="auto"/>
                <w:spacing w:val="-20"/>
                <w:sz w:val="24"/>
                <w:szCs w:val="24"/>
                <w:highlight w:val="none"/>
              </w:rPr>
              <w:t>20</w:t>
            </w:r>
            <w:r>
              <w:rPr>
                <w:rFonts w:hint="eastAsia" w:ascii="仿宋_GB2312" w:hAnsi="仿宋_GB2312" w:eastAsia="仿宋_GB2312" w:cs="仿宋_GB2312"/>
                <w:color w:val="auto"/>
                <w:spacing w:val="-20"/>
                <w:sz w:val="24"/>
                <w:szCs w:val="24"/>
                <w:highlight w:val="none"/>
              </w:rPr>
              <w:t>分；服务方案较为详细、较为合理可行得1</w:t>
            </w:r>
            <w:r>
              <w:rPr>
                <w:rFonts w:ascii="仿宋_GB2312" w:hAnsi="仿宋_GB2312" w:eastAsia="仿宋_GB2312" w:cs="仿宋_GB2312"/>
                <w:color w:val="auto"/>
                <w:spacing w:val="-20"/>
                <w:sz w:val="24"/>
                <w:szCs w:val="24"/>
                <w:highlight w:val="none"/>
              </w:rPr>
              <w:t>0</w:t>
            </w:r>
            <w:r>
              <w:rPr>
                <w:rFonts w:hint="eastAsia" w:ascii="仿宋_GB2312" w:hAnsi="仿宋_GB2312" w:eastAsia="仿宋_GB2312" w:cs="仿宋_GB2312"/>
                <w:color w:val="auto"/>
                <w:spacing w:val="-20"/>
                <w:sz w:val="24"/>
                <w:szCs w:val="24"/>
                <w:highlight w:val="none"/>
                <w:lang w:eastAsia="zh-CN"/>
              </w:rPr>
              <w:t>—</w:t>
            </w:r>
            <w:r>
              <w:rPr>
                <w:rFonts w:ascii="仿宋_GB2312" w:hAnsi="仿宋_GB2312" w:eastAsia="仿宋_GB2312" w:cs="仿宋_GB2312"/>
                <w:color w:val="auto"/>
                <w:spacing w:val="-20"/>
                <w:sz w:val="24"/>
                <w:szCs w:val="24"/>
                <w:highlight w:val="none"/>
              </w:rPr>
              <w:t>14</w:t>
            </w:r>
            <w:r>
              <w:rPr>
                <w:rFonts w:hint="eastAsia" w:ascii="仿宋_GB2312" w:hAnsi="仿宋_GB2312" w:eastAsia="仿宋_GB2312" w:cs="仿宋_GB2312"/>
                <w:color w:val="auto"/>
                <w:spacing w:val="-20"/>
                <w:sz w:val="24"/>
                <w:szCs w:val="24"/>
                <w:highlight w:val="none"/>
              </w:rPr>
              <w:t>分；服务方案一般，得</w:t>
            </w:r>
            <w:r>
              <w:rPr>
                <w:rFonts w:ascii="仿宋_GB2312" w:hAnsi="仿宋_GB2312" w:eastAsia="仿宋_GB2312" w:cs="仿宋_GB2312"/>
                <w:color w:val="auto"/>
                <w:spacing w:val="-20"/>
                <w:sz w:val="24"/>
                <w:szCs w:val="24"/>
                <w:highlight w:val="none"/>
              </w:rPr>
              <w:t>5</w:t>
            </w:r>
            <w:r>
              <w:rPr>
                <w:rFonts w:hint="eastAsia" w:ascii="仿宋_GB2312" w:hAnsi="仿宋_GB2312" w:eastAsia="仿宋_GB2312" w:cs="仿宋_GB2312"/>
                <w:color w:val="auto"/>
                <w:spacing w:val="-20"/>
                <w:sz w:val="24"/>
                <w:szCs w:val="24"/>
                <w:highlight w:val="none"/>
                <w:lang w:eastAsia="zh-CN"/>
              </w:rPr>
              <w:t>—</w:t>
            </w:r>
            <w:r>
              <w:rPr>
                <w:rFonts w:ascii="仿宋_GB2312" w:hAnsi="仿宋_GB2312" w:eastAsia="仿宋_GB2312" w:cs="仿宋_GB2312"/>
                <w:color w:val="auto"/>
                <w:spacing w:val="-20"/>
                <w:sz w:val="24"/>
                <w:szCs w:val="24"/>
                <w:highlight w:val="none"/>
              </w:rPr>
              <w:t>9</w:t>
            </w:r>
            <w:r>
              <w:rPr>
                <w:rFonts w:hint="eastAsia" w:ascii="仿宋_GB2312" w:hAnsi="仿宋_GB2312" w:eastAsia="仿宋_GB2312" w:cs="仿宋_GB2312"/>
                <w:color w:val="auto"/>
                <w:spacing w:val="-20"/>
                <w:sz w:val="24"/>
                <w:szCs w:val="24"/>
                <w:highlight w:val="none"/>
              </w:rPr>
              <w:t>分；服务方案粗糙，得0-</w:t>
            </w:r>
            <w:r>
              <w:rPr>
                <w:rFonts w:ascii="仿宋_GB2312" w:hAnsi="仿宋_GB2312" w:eastAsia="仿宋_GB2312" w:cs="仿宋_GB2312"/>
                <w:color w:val="auto"/>
                <w:spacing w:val="-20"/>
                <w:sz w:val="24"/>
                <w:szCs w:val="24"/>
                <w:highlight w:val="none"/>
              </w:rPr>
              <w:t>4</w:t>
            </w:r>
            <w:r>
              <w:rPr>
                <w:rFonts w:hint="eastAsia" w:ascii="仿宋_GB2312" w:hAnsi="仿宋_GB2312" w:eastAsia="仿宋_GB2312" w:cs="仿宋_GB2312"/>
                <w:color w:val="auto"/>
                <w:spacing w:val="-2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highlight w:val="none"/>
              </w:rPr>
            </w:pPr>
            <w:r>
              <w:rPr>
                <w:rFonts w:ascii="仿宋_GB2312" w:hAnsi="仿宋_GB2312" w:eastAsia="仿宋_GB2312" w:cs="仿宋_GB2312"/>
                <w:color w:val="auto"/>
                <w:spacing w:val="-20"/>
                <w:sz w:val="24"/>
                <w:highlight w:val="none"/>
              </w:rPr>
              <w:t>5</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商务报价</w:t>
            </w:r>
          </w:p>
        </w:tc>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20"/>
                <w:sz w:val="24"/>
                <w:szCs w:val="24"/>
                <w:highlight w:val="none"/>
                <w:lang w:eastAsia="zh-CN"/>
              </w:rPr>
            </w:pPr>
            <w:r>
              <w:rPr>
                <w:rFonts w:ascii="仿宋_GB2312" w:hAnsi="仿宋_GB2312" w:eastAsia="仿宋_GB2312" w:cs="仿宋_GB2312"/>
                <w:color w:val="auto"/>
                <w:spacing w:val="-20"/>
                <w:sz w:val="24"/>
                <w:szCs w:val="24"/>
                <w:highlight w:val="none"/>
              </w:rPr>
              <w:t>1</w:t>
            </w:r>
            <w:r>
              <w:rPr>
                <w:rFonts w:hint="eastAsia" w:ascii="仿宋_GB2312" w:hAnsi="仿宋_GB2312" w:eastAsia="仿宋_GB2312" w:cs="仿宋_GB2312"/>
                <w:color w:val="auto"/>
                <w:spacing w:val="-20"/>
                <w:sz w:val="24"/>
                <w:szCs w:val="24"/>
                <w:highlight w:val="none"/>
                <w:lang w:val="en-US" w:eastAsia="zh-CN"/>
              </w:rPr>
              <w:t>5</w:t>
            </w:r>
          </w:p>
        </w:tc>
        <w:tc>
          <w:tcPr>
            <w:tcW w:w="61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评审基准价：申请人有效报价【即比选限制价55%≤有效报价≤比选限制价100%】的平均价为评审基准价。报价与基础价差异5%以内得满分，每高于基础价5%，扣减1分；每低于基础价10%，扣减1分，直至本项分值扣完为止。</w:t>
            </w:r>
          </w:p>
        </w:tc>
      </w:tr>
    </w:tbl>
    <w:p>
      <w:pPr>
        <w:spacing w:line="460" w:lineRule="exact"/>
        <w:ind w:firstLine="480" w:firstLineChars="200"/>
        <w:rPr>
          <w:rFonts w:ascii="仿宋_GB2312" w:hAnsi="仿宋_GB2312" w:eastAsia="仿宋_GB2312" w:cs="仿宋_GB2312"/>
          <w:bCs/>
          <w:color w:val="auto"/>
          <w:kern w:val="0"/>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Cs/>
          <w:color w:val="auto"/>
          <w:kern w:val="0"/>
          <w:sz w:val="24"/>
          <w:highlight w:val="none"/>
        </w:rPr>
        <w:t>如总评分相同，按“比选报价”项评分由高到低顺序排列名次；“比选报价”项评分仍相同的，按“服务</w:t>
      </w:r>
      <w:r>
        <w:rPr>
          <w:rFonts w:hint="eastAsia" w:ascii="仿宋_GB2312" w:hAnsi="仿宋_GB2312" w:eastAsia="仿宋_GB2312" w:cs="仿宋_GB2312"/>
          <w:bCs/>
          <w:color w:val="auto"/>
          <w:kern w:val="0"/>
          <w:sz w:val="24"/>
          <w:highlight w:val="none"/>
          <w:lang w:val="en-US" w:eastAsia="zh-CN"/>
        </w:rPr>
        <w:t>方案”“</w:t>
      </w:r>
      <w:r>
        <w:rPr>
          <w:rFonts w:hint="eastAsia" w:ascii="仿宋_GB2312" w:hAnsi="仿宋_GB2312" w:eastAsia="仿宋_GB2312" w:cs="仿宋_GB2312"/>
          <w:color w:val="auto"/>
          <w:spacing w:val="-20"/>
          <w:sz w:val="24"/>
          <w:highlight w:val="none"/>
        </w:rPr>
        <w:t>团队服务经验及相关资质</w:t>
      </w:r>
      <w:r>
        <w:rPr>
          <w:rFonts w:hint="eastAsia" w:ascii="仿宋_GB2312" w:hAnsi="仿宋_GB2312" w:eastAsia="仿宋_GB2312" w:cs="仿宋_GB2312"/>
          <w:color w:val="auto"/>
          <w:spacing w:val="-20"/>
          <w:sz w:val="24"/>
          <w:highlight w:val="none"/>
          <w:lang w:eastAsia="zh-CN"/>
        </w:rPr>
        <w:t>”“</w:t>
      </w:r>
      <w:r>
        <w:rPr>
          <w:rFonts w:hint="eastAsia" w:ascii="仿宋_GB2312" w:hAnsi="仿宋_GB2312" w:eastAsia="仿宋_GB2312" w:cs="仿宋_GB2312"/>
          <w:bCs/>
          <w:color w:val="auto"/>
          <w:kern w:val="0"/>
          <w:sz w:val="24"/>
          <w:highlight w:val="none"/>
          <w:lang w:val="en-US" w:eastAsia="zh-CN"/>
        </w:rPr>
        <w:t>人员规模</w:t>
      </w:r>
      <w:r>
        <w:rPr>
          <w:rFonts w:hint="eastAsia" w:ascii="仿宋_GB2312" w:hAnsi="仿宋_GB2312" w:eastAsia="仿宋_GB2312" w:cs="仿宋_GB2312"/>
          <w:bCs/>
          <w:color w:val="auto"/>
          <w:kern w:val="0"/>
          <w:sz w:val="24"/>
          <w:highlight w:val="none"/>
          <w:lang w:eastAsia="zh-CN"/>
        </w:rPr>
        <w:t>”</w:t>
      </w:r>
      <w:r>
        <w:rPr>
          <w:rFonts w:hint="eastAsia" w:ascii="仿宋_GB2312" w:hAnsi="仿宋_GB2312" w:eastAsia="仿宋_GB2312" w:cs="仿宋_GB2312"/>
          <w:bCs/>
          <w:color w:val="auto"/>
          <w:kern w:val="0"/>
          <w:sz w:val="24"/>
          <w:highlight w:val="none"/>
        </w:rPr>
        <w:t>“综合实力”等三项总由高到低顺序排列名次；“综合实力”项评分仍相同的，名次由评审组抽签决定，评审组按上述排列顺序向比选人推荐中选候选人。文件所指</w:t>
      </w:r>
      <w:r>
        <w:rPr>
          <w:rFonts w:hint="eastAsia" w:ascii="仿宋_GB2312" w:hAnsi="仿宋_GB2312" w:eastAsia="仿宋_GB2312" w:cs="仿宋_GB2312"/>
          <w:color w:val="auto"/>
          <w:spacing w:val="-20"/>
          <w:sz w:val="24"/>
          <w:highlight w:val="none"/>
        </w:rPr>
        <w:t>近3年为</w:t>
      </w:r>
      <w:r>
        <w:rPr>
          <w:rFonts w:hint="eastAsia" w:ascii="仿宋_GB2312" w:hAnsi="仿宋_GB2312" w:eastAsia="仿宋_GB2312" w:cs="仿宋_GB2312"/>
          <w:color w:val="auto"/>
          <w:spacing w:val="-20"/>
          <w:sz w:val="24"/>
          <w:highlight w:val="none"/>
          <w:lang w:val="en-US" w:eastAsia="zh-CN"/>
        </w:rPr>
        <w:t>2021年1月1日止比选文件递交截止日</w:t>
      </w:r>
      <w:r>
        <w:rPr>
          <w:rFonts w:hint="eastAsia" w:ascii="仿宋_GB2312" w:hAnsi="仿宋_GB2312" w:eastAsia="仿宋_GB2312" w:cs="仿宋_GB2312"/>
          <w:color w:val="auto"/>
          <w:spacing w:val="-20"/>
          <w:sz w:val="24"/>
          <w:highlight w:val="none"/>
        </w:rPr>
        <w:t>。</w:t>
      </w:r>
    </w:p>
    <w:p>
      <w:pPr>
        <w:keepNext/>
        <w:keepLines/>
        <w:widowControl w:val="0"/>
        <w:spacing w:before="0" w:after="156" w:afterLines="50" w:line="460" w:lineRule="exact"/>
        <w:jc w:val="center"/>
        <w:outlineLvl w:val="0"/>
        <w:rPr>
          <w:rFonts w:ascii="仿宋_GB2312" w:hAnsi="仿宋_GB2312" w:eastAsia="仿宋_GB2312" w:cs="仿宋_GB2312"/>
          <w:b/>
          <w:bCs/>
          <w:color w:val="auto"/>
          <w:kern w:val="0"/>
          <w:sz w:val="32"/>
          <w:szCs w:val="32"/>
          <w:highlight w:val="none"/>
          <w:lang w:val="zh-CN" w:eastAsia="zh-CN" w:bidi="ar-SA"/>
        </w:rPr>
      </w:pPr>
      <w:bookmarkStart w:id="422" w:name="_Toc332"/>
      <w:bookmarkStart w:id="423" w:name="_Toc10904"/>
      <w:bookmarkStart w:id="424" w:name="_Toc19065"/>
      <w:bookmarkStart w:id="425" w:name="_Toc28949"/>
      <w:bookmarkStart w:id="426" w:name="_Toc12996"/>
      <w:bookmarkStart w:id="427" w:name="_Toc5396"/>
      <w:bookmarkStart w:id="428" w:name="_Toc18600"/>
      <w:bookmarkStart w:id="429" w:name="_Toc13785"/>
      <w:bookmarkStart w:id="430" w:name="_Toc3249"/>
      <w:bookmarkStart w:id="431" w:name="_Toc23662"/>
      <w:r>
        <w:rPr>
          <w:rFonts w:hint="eastAsia" w:ascii="仿宋_GB2312" w:hAnsi="仿宋_GB2312" w:eastAsia="仿宋_GB2312" w:cs="仿宋_GB2312"/>
          <w:b/>
          <w:bCs/>
          <w:color w:val="auto"/>
          <w:kern w:val="44"/>
          <w:sz w:val="32"/>
          <w:szCs w:val="32"/>
          <w:highlight w:val="none"/>
          <w:lang w:val="zh-CN" w:eastAsia="zh-CN" w:bidi="ar-SA"/>
        </w:rPr>
        <w:t xml:space="preserve">第七章 </w:t>
      </w:r>
      <w:r>
        <w:rPr>
          <w:rFonts w:hint="eastAsia" w:ascii="仿宋_GB2312" w:hAnsi="仿宋_GB2312" w:eastAsia="仿宋_GB2312" w:cs="仿宋_GB2312"/>
          <w:b/>
          <w:bCs/>
          <w:color w:val="auto"/>
          <w:kern w:val="44"/>
          <w:sz w:val="32"/>
          <w:szCs w:val="32"/>
          <w:highlight w:val="none"/>
          <w:lang w:val="en-US" w:eastAsia="zh-CN" w:bidi="ar-SA"/>
        </w:rPr>
        <w:t>主要</w:t>
      </w:r>
      <w:r>
        <w:rPr>
          <w:rFonts w:hint="eastAsia" w:ascii="仿宋_GB2312" w:hAnsi="仿宋_GB2312" w:eastAsia="仿宋_GB2312" w:cs="仿宋_GB2312"/>
          <w:b/>
          <w:bCs/>
          <w:color w:val="auto"/>
          <w:kern w:val="44"/>
          <w:sz w:val="32"/>
          <w:szCs w:val="32"/>
          <w:highlight w:val="none"/>
          <w:lang w:val="zh-CN" w:eastAsia="zh-CN" w:bidi="ar-SA"/>
        </w:rPr>
        <w:t>合同条款（草案）</w:t>
      </w:r>
      <w:bookmarkEnd w:id="420"/>
      <w:bookmarkEnd w:id="421"/>
      <w:bookmarkEnd w:id="422"/>
      <w:bookmarkEnd w:id="423"/>
      <w:bookmarkEnd w:id="424"/>
      <w:bookmarkEnd w:id="425"/>
      <w:bookmarkEnd w:id="426"/>
      <w:bookmarkEnd w:id="427"/>
      <w:bookmarkEnd w:id="428"/>
      <w:bookmarkEnd w:id="429"/>
      <w:bookmarkEnd w:id="430"/>
      <w:bookmarkEnd w:id="431"/>
    </w:p>
    <w:p>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合同编号：</w:t>
      </w:r>
    </w:p>
    <w:p>
      <w:pPr>
        <w:spacing w:line="460" w:lineRule="exact"/>
        <w:ind w:firstLine="480" w:firstLineChars="200"/>
        <w:rPr>
          <w:rFonts w:ascii="仿宋_GB2312" w:hAnsi="仿宋_GB2312" w:eastAsia="仿宋_GB2312" w:cs="仿宋_GB2312"/>
          <w:color w:val="auto"/>
          <w:sz w:val="24"/>
          <w:highlight w:val="none"/>
        </w:rPr>
      </w:pP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签订时间：XXXX年XX月XX日。</w:t>
      </w:r>
    </w:p>
    <w:p>
      <w:pPr>
        <w:spacing w:line="46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lang w:eastAsia="zh-CN"/>
        </w:rPr>
        <w:t>蜀道物流（香港）有限公司</w:t>
      </w:r>
    </w:p>
    <w:p>
      <w:pPr>
        <w:spacing w:line="460" w:lineRule="exact"/>
        <w:ind w:firstLine="480" w:firstLineChars="200"/>
        <w:rPr>
          <w:rFonts w:ascii="仿宋_GB2312" w:hAnsi="仿宋_GB2312" w:eastAsia="仿宋_GB2312" w:cs="仿宋_GB2312"/>
          <w:color w:val="auto"/>
          <w:sz w:val="24"/>
          <w:highlight w:val="none"/>
        </w:rPr>
      </w:pPr>
    </w:p>
    <w:p>
      <w:pPr>
        <w:spacing w:line="4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p>
    <w:p>
      <w:pPr>
        <w:spacing w:line="460" w:lineRule="exact"/>
        <w:ind w:firstLine="480" w:firstLineChars="200"/>
        <w:rPr>
          <w:rFonts w:ascii="仿宋_GB2312" w:hAnsi="仿宋_GB2312" w:eastAsia="仿宋_GB2312" w:cs="仿宋_GB2312"/>
          <w:color w:val="auto"/>
          <w:sz w:val="24"/>
          <w:highlight w:val="none"/>
        </w:rPr>
      </w:pPr>
    </w:p>
    <w:p>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依据《中华人民共和国民法典》与（项目编号：</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）的《比选文件》，乙方的《比选申请书》及《中选通知书》，甲、乙双方同意签订本合同。合同附件及本项目的《比选文件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中选通知书》等均为本合同的组成部分。</w:t>
      </w:r>
    </w:p>
    <w:p>
      <w:pPr>
        <w:spacing w:line="460" w:lineRule="exact"/>
        <w:jc w:val="left"/>
        <w:rPr>
          <w:rFonts w:ascii="仿宋_GB2312" w:hAnsi="仿宋_GB2312" w:eastAsia="仿宋_GB2312" w:cs="仿宋_GB2312"/>
          <w:b/>
          <w:color w:val="auto"/>
          <w:sz w:val="24"/>
          <w:highlight w:val="none"/>
        </w:rPr>
      </w:pPr>
      <w:bookmarkStart w:id="432" w:name="_Toc474327053"/>
      <w:bookmarkStart w:id="433" w:name="_Toc10106"/>
      <w:bookmarkStart w:id="434" w:name="_Toc505261925"/>
      <w:bookmarkStart w:id="435" w:name="_Toc24382"/>
      <w:bookmarkStart w:id="436" w:name="_Toc513469063"/>
      <w:bookmarkStart w:id="437" w:name="_Toc466391954"/>
      <w:bookmarkStart w:id="438" w:name="_Toc474502595"/>
      <w:bookmarkStart w:id="439" w:name="_Toc361325807"/>
      <w:bookmarkStart w:id="440" w:name="_Toc21389"/>
      <w:r>
        <w:rPr>
          <w:rFonts w:hint="eastAsia" w:ascii="仿宋_GB2312" w:hAnsi="仿宋_GB2312" w:eastAsia="仿宋_GB2312" w:cs="仿宋_GB2312"/>
          <w:b/>
          <w:color w:val="auto"/>
          <w:sz w:val="24"/>
          <w:highlight w:val="none"/>
        </w:rPr>
        <w:t>第一条  项目基本情况</w:t>
      </w:r>
      <w:bookmarkEnd w:id="432"/>
      <w:bookmarkEnd w:id="433"/>
      <w:bookmarkEnd w:id="434"/>
      <w:bookmarkEnd w:id="435"/>
      <w:bookmarkEnd w:id="436"/>
      <w:bookmarkEnd w:id="437"/>
      <w:bookmarkEnd w:id="438"/>
      <w:bookmarkEnd w:id="439"/>
      <w:bookmarkEnd w:id="440"/>
    </w:p>
    <w:p>
      <w:pPr>
        <w:spacing w:line="460" w:lineRule="exact"/>
        <w:ind w:firstLine="480" w:firstLineChars="200"/>
        <w:jc w:val="left"/>
        <w:rPr>
          <w:rFonts w:ascii="仿宋_GB2312" w:hAnsi="仿宋_GB2312" w:eastAsia="仿宋_GB2312" w:cs="仿宋_GB2312"/>
          <w:bCs/>
          <w:color w:val="auto"/>
          <w:sz w:val="24"/>
          <w:highlight w:val="none"/>
        </w:rPr>
      </w:pPr>
      <w:bookmarkStart w:id="441" w:name="_Toc474327054"/>
      <w:bookmarkStart w:id="442" w:name="_Toc513469064"/>
      <w:bookmarkStart w:id="443" w:name="_Toc474502596"/>
      <w:bookmarkStart w:id="444" w:name="_Toc361325808"/>
      <w:bookmarkStart w:id="445" w:name="_Toc466391955"/>
      <w:bookmarkStart w:id="446" w:name="_Toc505261926"/>
      <w:r>
        <w:rPr>
          <w:rFonts w:hint="eastAsia" w:ascii="仿宋_GB2312" w:hAnsi="仿宋_GB2312" w:eastAsia="仿宋_GB2312" w:cs="仿宋_GB2312"/>
          <w:bCs/>
          <w:color w:val="auto"/>
          <w:sz w:val="24"/>
          <w:highlight w:val="none"/>
        </w:rPr>
        <w:t>甲方为了规范经营管理，依法解决公司经营管理中出现的各种法律问题，诚意聘请乙方担任</w:t>
      </w:r>
      <w:r>
        <w:rPr>
          <w:rFonts w:hint="eastAsia" w:ascii="仿宋_GB2312" w:hAnsi="仿宋_GB2312" w:eastAsia="仿宋_GB2312" w:cs="仿宋_GB2312"/>
          <w:bCs/>
          <w:color w:val="auto"/>
          <w:sz w:val="24"/>
          <w:highlight w:val="none"/>
          <w:lang w:eastAsia="zh-CN"/>
        </w:rPr>
        <w:t>202</w:t>
      </w:r>
      <w:r>
        <w:rPr>
          <w:rFonts w:hint="eastAsia" w:ascii="仿宋_GB2312" w:hAnsi="仿宋_GB2312" w:eastAsia="仿宋_GB2312" w:cs="仿宋_GB2312"/>
          <w:bCs/>
          <w:color w:val="auto"/>
          <w:sz w:val="24"/>
          <w:highlight w:val="none"/>
          <w:lang w:val="en-US" w:eastAsia="zh-CN"/>
        </w:rPr>
        <w:t>4</w:t>
      </w:r>
      <w:r>
        <w:rPr>
          <w:rFonts w:hint="eastAsia" w:ascii="仿宋_GB2312" w:hAnsi="仿宋_GB2312" w:eastAsia="仿宋_GB2312" w:cs="仿宋_GB2312"/>
          <w:bCs/>
          <w:color w:val="auto"/>
          <w:sz w:val="24"/>
          <w:highlight w:val="none"/>
          <w:lang w:eastAsia="zh-CN"/>
        </w:rPr>
        <w:t>年度常年法律</w:t>
      </w:r>
      <w:r>
        <w:rPr>
          <w:rFonts w:hint="eastAsia" w:ascii="仿宋_GB2312" w:hAnsi="仿宋_GB2312" w:eastAsia="仿宋_GB2312" w:cs="仿宋_GB2312"/>
          <w:bCs/>
          <w:color w:val="auto"/>
          <w:sz w:val="24"/>
          <w:highlight w:val="none"/>
        </w:rPr>
        <w:t>顾问，经双方友好协商，就法律顾问工作中双方的权利义务事宜达成一致意见，签订本合同，供双方遵照执行。</w:t>
      </w:r>
    </w:p>
    <w:p>
      <w:pPr>
        <w:numPr>
          <w:ilvl w:val="0"/>
          <w:numId w:val="5"/>
        </w:numPr>
        <w:spacing w:line="460" w:lineRule="exact"/>
        <w:rPr>
          <w:rFonts w:ascii="仿宋_GB2312" w:hAnsi="仿宋_GB2312" w:eastAsia="仿宋_GB2312" w:cs="仿宋_GB2312"/>
          <w:b/>
          <w:color w:val="auto"/>
          <w:sz w:val="24"/>
          <w:highlight w:val="none"/>
        </w:rPr>
      </w:pPr>
      <w:bookmarkStart w:id="447" w:name="_Toc13883"/>
      <w:bookmarkStart w:id="448" w:name="_Toc13620"/>
      <w:bookmarkStart w:id="449" w:name="_Toc10790"/>
      <w:r>
        <w:rPr>
          <w:rFonts w:hint="eastAsia" w:ascii="仿宋_GB2312" w:hAnsi="仿宋_GB2312" w:eastAsia="仿宋_GB2312" w:cs="仿宋_GB2312"/>
          <w:b/>
          <w:color w:val="auto"/>
          <w:sz w:val="24"/>
          <w:highlight w:val="none"/>
        </w:rPr>
        <w:t>顾问团队</w:t>
      </w:r>
      <w:bookmarkEnd w:id="447"/>
      <w:r>
        <w:rPr>
          <w:rFonts w:hint="eastAsia" w:ascii="仿宋_GB2312" w:hAnsi="仿宋_GB2312" w:eastAsia="仿宋_GB2312" w:cs="仿宋_GB2312"/>
          <w:b/>
          <w:color w:val="auto"/>
          <w:sz w:val="24"/>
          <w:highlight w:val="none"/>
        </w:rPr>
        <w:t xml:space="preserve">  </w:t>
      </w:r>
      <w:bookmarkEnd w:id="441"/>
      <w:bookmarkEnd w:id="442"/>
      <w:bookmarkEnd w:id="443"/>
      <w:bookmarkEnd w:id="444"/>
      <w:bookmarkEnd w:id="445"/>
      <w:bookmarkEnd w:id="446"/>
      <w:bookmarkStart w:id="450" w:name="_Toc238984975"/>
      <w:bookmarkStart w:id="451" w:name="_Toc225654644"/>
      <w:bookmarkStart w:id="452" w:name="_Toc211854449"/>
      <w:bookmarkStart w:id="453" w:name="_Toc247334841"/>
      <w:bookmarkStart w:id="454" w:name="_Toc239233914"/>
      <w:bookmarkStart w:id="455" w:name="_Toc232492928"/>
      <w:bookmarkStart w:id="456" w:name="_Toc241833903"/>
      <w:bookmarkStart w:id="457" w:name="_Toc282696226"/>
      <w:bookmarkStart w:id="458" w:name="_Toc211911348"/>
      <w:bookmarkStart w:id="459" w:name="_Toc212019594"/>
      <w:bookmarkStart w:id="460" w:name="_Toc225244852"/>
      <w:bookmarkStart w:id="461" w:name="_Toc283019214"/>
      <w:bookmarkStart w:id="462" w:name="_Toc286993786"/>
      <w:bookmarkStart w:id="463" w:name="_Toc225670751"/>
      <w:bookmarkStart w:id="464" w:name="_Toc251768862"/>
      <w:bookmarkStart w:id="465" w:name="_Toc237145406"/>
      <w:bookmarkStart w:id="466" w:name="_Toc239568418"/>
      <w:bookmarkStart w:id="467" w:name="_Toc185395249"/>
    </w:p>
    <w:p>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乙方指派</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为甲方提供</w:t>
      </w:r>
      <w:r>
        <w:rPr>
          <w:rFonts w:hint="eastAsia" w:ascii="仿宋_GB2312" w:hAnsi="仿宋_GB2312" w:eastAsia="仿宋_GB2312" w:cs="仿宋_GB2312"/>
          <w:bCs/>
          <w:color w:val="auto"/>
          <w:sz w:val="24"/>
          <w:highlight w:val="none"/>
          <w:lang w:eastAsia="zh-CN"/>
        </w:rPr>
        <w:t>2024年度常年法律</w:t>
      </w:r>
      <w:r>
        <w:rPr>
          <w:rFonts w:hint="eastAsia" w:ascii="仿宋_GB2312" w:hAnsi="仿宋_GB2312" w:eastAsia="仿宋_GB2312" w:cs="仿宋_GB2312"/>
          <w:bCs/>
          <w:color w:val="auto"/>
          <w:sz w:val="24"/>
          <w:highlight w:val="none"/>
        </w:rPr>
        <w:t>顾问服务。</w:t>
      </w:r>
      <w:bookmarkEnd w:id="448"/>
      <w:bookmarkEnd w:id="449"/>
    </w:p>
    <w:p>
      <w:pPr>
        <w:spacing w:line="460" w:lineRule="exact"/>
        <w:jc w:val="left"/>
        <w:rPr>
          <w:rFonts w:ascii="仿宋_GB2312" w:hAnsi="仿宋_GB2312" w:eastAsia="仿宋_GB2312" w:cs="仿宋_GB2312"/>
          <w:b/>
          <w:color w:val="auto"/>
          <w:sz w:val="24"/>
          <w:highlight w:val="none"/>
        </w:rPr>
      </w:pPr>
      <w:bookmarkStart w:id="468" w:name="_Toc505261927"/>
      <w:bookmarkStart w:id="469" w:name="_Toc513469065"/>
      <w:bookmarkStart w:id="470" w:name="_Toc466391956"/>
      <w:bookmarkStart w:id="471" w:name="_Toc361325809"/>
      <w:bookmarkStart w:id="472" w:name="_Toc474502597"/>
      <w:bookmarkStart w:id="473" w:name="_Toc474327055"/>
      <w:bookmarkStart w:id="474" w:name="_Toc7171"/>
      <w:bookmarkStart w:id="475" w:name="_Toc7021"/>
      <w:bookmarkStart w:id="476" w:name="_Toc17124"/>
      <w:r>
        <w:rPr>
          <w:rFonts w:hint="eastAsia" w:ascii="仿宋_GB2312" w:hAnsi="仿宋_GB2312" w:eastAsia="仿宋_GB2312" w:cs="仿宋_GB2312"/>
          <w:b/>
          <w:color w:val="auto"/>
          <w:sz w:val="24"/>
          <w:highlight w:val="none"/>
        </w:rPr>
        <w:t xml:space="preserve">第三条 </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仿宋_GB2312" w:hAnsi="仿宋_GB2312" w:eastAsia="仿宋_GB2312" w:cs="仿宋_GB2312"/>
          <w:b/>
          <w:color w:val="auto"/>
          <w:sz w:val="24"/>
          <w:highlight w:val="none"/>
        </w:rPr>
        <w:t>乙方服务内容</w:t>
      </w:r>
      <w:bookmarkEnd w:id="474"/>
      <w:bookmarkEnd w:id="475"/>
      <w:bookmarkEnd w:id="476"/>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乙方为甲方提供的</w:t>
      </w:r>
      <w:r>
        <w:rPr>
          <w:rFonts w:hint="eastAsia" w:ascii="仿宋_GB2312" w:hAnsi="仿宋_GB2312" w:eastAsia="仿宋_GB2312" w:cs="仿宋_GB2312"/>
          <w:bCs/>
          <w:color w:val="auto"/>
          <w:sz w:val="24"/>
          <w:highlight w:val="none"/>
          <w:lang w:eastAsia="zh-CN"/>
        </w:rPr>
        <w:t>2024年度常年法律</w:t>
      </w:r>
      <w:r>
        <w:rPr>
          <w:rFonts w:hint="eastAsia" w:ascii="仿宋_GB2312" w:hAnsi="仿宋_GB2312" w:eastAsia="仿宋_GB2312" w:cs="仿宋_GB2312"/>
          <w:bCs/>
          <w:color w:val="auto"/>
          <w:sz w:val="24"/>
          <w:highlight w:val="none"/>
        </w:rPr>
        <w:t>顾问服务具体如下：</w:t>
      </w:r>
    </w:p>
    <w:p>
      <w:pPr>
        <w:numPr>
          <w:ilvl w:val="0"/>
          <w:numId w:val="6"/>
        </w:num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基础法律顾问服务：</w:t>
      </w:r>
    </w:p>
    <w:p>
      <w:pPr>
        <w:numPr>
          <w:ilvl w:val="255"/>
          <w:numId w:val="0"/>
        </w:num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就日常经营、劳动人事等中遇到的法律问题提供法律咨询。针对甲方公司提出的法律问题，以口头或书面的形式给予解答。解答内容包括：（1）提供法律解释；（2）阐明法律关系、法律后果以及相应法律责任。</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2.受甲方委托，对甲方制定和颁布的文件进行清理、审查，对可能存在的问题和法律风险进行评估，并提出法律意见。</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3.规范甲方公司管理中的法律流程，包括签署相关文件、决策等流程。</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4.拟定、审查或修改各种合同、协议、文件、规定、制度、办法、章程及其他法律文书；</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5.应邀列席重大会议，如甲方党支委会、三重一大会议、总办会、风控会</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lang w:val="en-US" w:eastAsia="zh-CN"/>
        </w:rPr>
        <w:t>调解会</w:t>
      </w:r>
      <w:r>
        <w:rPr>
          <w:rFonts w:hint="eastAsia" w:ascii="仿宋_GB2312" w:hAnsi="仿宋_GB2312" w:eastAsia="仿宋_GB2312" w:cs="仿宋_GB2312"/>
          <w:bCs/>
          <w:color w:val="auto"/>
          <w:sz w:val="24"/>
          <w:highlight w:val="none"/>
        </w:rPr>
        <w:t>等会议，就相关问题提供法律咨询意见；</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6.受甲方委托，代表甲方与有关单位进行法律交涉，必要时出具律师函、法律意见书、法律建议书、律师催告函等；</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7.协助甲方公司依法</w:t>
      </w:r>
      <w:r>
        <w:rPr>
          <w:rFonts w:hint="eastAsia" w:ascii="仿宋_GB2312" w:hAnsi="仿宋_GB2312" w:eastAsia="仿宋_GB2312" w:cs="仿宋_GB2312"/>
          <w:bCs/>
          <w:color w:val="auto"/>
          <w:sz w:val="24"/>
          <w:highlight w:val="none"/>
          <w:lang w:eastAsia="zh-CN"/>
        </w:rPr>
        <w:t>作出</w:t>
      </w:r>
      <w:r>
        <w:rPr>
          <w:rFonts w:hint="eastAsia" w:ascii="仿宋_GB2312" w:hAnsi="仿宋_GB2312" w:eastAsia="仿宋_GB2312" w:cs="仿宋_GB2312"/>
          <w:bCs/>
          <w:color w:val="auto"/>
          <w:sz w:val="24"/>
          <w:highlight w:val="none"/>
        </w:rPr>
        <w:t>经营</w:t>
      </w:r>
      <w:r>
        <w:rPr>
          <w:rFonts w:hint="eastAsia" w:ascii="仿宋_GB2312" w:hAnsi="仿宋_GB2312" w:eastAsia="仿宋_GB2312" w:cs="仿宋_GB2312"/>
          <w:bCs/>
          <w:color w:val="auto"/>
          <w:sz w:val="24"/>
          <w:highlight w:val="none"/>
          <w:lang w:eastAsia="zh-CN"/>
        </w:rPr>
        <w:t>或其他</w:t>
      </w:r>
      <w:r>
        <w:rPr>
          <w:rFonts w:hint="eastAsia" w:ascii="仿宋_GB2312" w:hAnsi="仿宋_GB2312" w:eastAsia="仿宋_GB2312" w:cs="仿宋_GB2312"/>
          <w:bCs/>
          <w:color w:val="auto"/>
          <w:sz w:val="24"/>
          <w:highlight w:val="none"/>
        </w:rPr>
        <w:t>决策。协助内容包括：（1）提供与决策相应的法律依据、法律解释；（2）提供可行性分析意见，论证公司决策的必要性及可行性；（3</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为公司决策提供风险预测及对策；（4）根据公司需要来公司沟通洽谈并就经营投资、项目合作、法律纠纷等事项应邀参与甲方与第三方的业务谈判；</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8.每年至少到公司组织</w:t>
      </w:r>
      <w:r>
        <w:rPr>
          <w:rFonts w:hint="eastAsia" w:ascii="仿宋_GB2312" w:hAnsi="仿宋_GB2312" w:eastAsia="仿宋_GB2312" w:cs="仿宋_GB2312"/>
          <w:bCs/>
          <w:color w:val="auto"/>
          <w:sz w:val="24"/>
          <w:highlight w:val="none"/>
          <w:lang w:val="en-US" w:eastAsia="zh-CN"/>
        </w:rPr>
        <w:t>2</w:t>
      </w:r>
      <w:r>
        <w:rPr>
          <w:rFonts w:hint="eastAsia" w:ascii="仿宋_GB2312" w:hAnsi="仿宋_GB2312" w:eastAsia="仿宋_GB2312" w:cs="仿宋_GB2312"/>
          <w:bCs/>
          <w:color w:val="auto"/>
          <w:sz w:val="24"/>
          <w:highlight w:val="none"/>
        </w:rPr>
        <w:t>次法律培训并完成其他法律事务。</w:t>
      </w:r>
    </w:p>
    <w:p>
      <w:pPr>
        <w:spacing w:line="460" w:lineRule="exact"/>
        <w:jc w:val="left"/>
        <w:rPr>
          <w:rFonts w:ascii="仿宋_GB2312" w:hAnsi="仿宋_GB2312" w:eastAsia="仿宋_GB2312" w:cs="仿宋_GB2312"/>
          <w:b/>
          <w:color w:val="auto"/>
          <w:sz w:val="24"/>
          <w:highlight w:val="none"/>
        </w:rPr>
      </w:pPr>
      <w:bookmarkStart w:id="477" w:name="_Toc26209"/>
      <w:bookmarkStart w:id="478" w:name="_Toc17902"/>
      <w:bookmarkStart w:id="479" w:name="_Toc11672"/>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四</w:t>
      </w:r>
      <w:r>
        <w:rPr>
          <w:rFonts w:hint="eastAsia" w:ascii="仿宋_GB2312" w:hAnsi="仿宋_GB2312" w:eastAsia="仿宋_GB2312" w:cs="仿宋_GB2312"/>
          <w:b/>
          <w:color w:val="auto"/>
          <w:sz w:val="24"/>
          <w:highlight w:val="none"/>
        </w:rPr>
        <w:t>条 乙方服务方式</w:t>
      </w:r>
      <w:bookmarkEnd w:id="477"/>
      <w:bookmarkEnd w:id="478"/>
      <w:bookmarkEnd w:id="479"/>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（一）服务团队：</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甲乙同意由乙方***律师担任甲方项目团队负责人，并由***律师</w:t>
      </w:r>
      <w:r>
        <w:rPr>
          <w:rFonts w:hint="eastAsia" w:ascii="仿宋_GB2312" w:hAnsi="仿宋_GB2312" w:eastAsia="仿宋_GB2312" w:cs="仿宋_GB2312"/>
          <w:bCs/>
          <w:color w:val="auto"/>
          <w:sz w:val="24"/>
          <w:highlight w:val="none"/>
          <w:lang w:eastAsia="zh-CN"/>
        </w:rPr>
        <w:t>作为</w:t>
      </w:r>
      <w:r>
        <w:rPr>
          <w:rFonts w:hint="eastAsia" w:ascii="仿宋_GB2312" w:hAnsi="仿宋_GB2312" w:eastAsia="仿宋_GB2312" w:cs="仿宋_GB2312"/>
          <w:bCs/>
          <w:color w:val="auto"/>
          <w:sz w:val="24"/>
          <w:highlight w:val="none"/>
        </w:rPr>
        <w:t>项目组专家顾问，***律师、***律师、***律师、***律师、***律师担任主承办律师共同组成项目服务团队。</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（二）服务时限：材料齐全后，一般合同审查和法律咨询1个工作日内，重要合同或规章制度或工作量较大的法律事务处理</w:t>
      </w:r>
      <w:r>
        <w:rPr>
          <w:rFonts w:hint="eastAsia" w:ascii="仿宋_GB2312" w:hAnsi="仿宋_GB2312" w:eastAsia="仿宋_GB2312" w:cs="仿宋_GB2312"/>
          <w:bCs/>
          <w:color w:val="auto"/>
          <w:sz w:val="24"/>
          <w:highlight w:val="none"/>
          <w:lang w:eastAsia="zh-CN"/>
        </w:rPr>
        <w:t>2～3个</w:t>
      </w:r>
      <w:r>
        <w:rPr>
          <w:rFonts w:hint="eastAsia" w:ascii="仿宋_GB2312" w:hAnsi="仿宋_GB2312" w:eastAsia="仿宋_GB2312" w:cs="仿宋_GB2312"/>
          <w:bCs/>
          <w:color w:val="auto"/>
          <w:sz w:val="24"/>
          <w:highlight w:val="none"/>
        </w:rPr>
        <w:t>工作日内；特殊情况下（突发事件或领导特别急要文件）加班紧急处理，不受上述时限限制，一般0.5个工作日内完成，不超过1个工作日。</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（三）服务方式：日常文件、咨询服务通过电话、网络等现代通讯工具完成服务沟通、工作交接，紧急或会议需要提前通知约定时间赴公司提供现场服务。</w:t>
      </w:r>
    </w:p>
    <w:p>
      <w:pPr>
        <w:spacing w:line="460" w:lineRule="exact"/>
        <w:ind w:firstLine="0" w:firstLineChars="0"/>
        <w:jc w:val="left"/>
        <w:rPr>
          <w:rFonts w:hint="eastAsia" w:ascii="仿宋_GB2312" w:hAnsi="仿宋_GB2312" w:eastAsia="仿宋_GB2312" w:cs="仿宋_GB2312"/>
          <w:b/>
          <w:bCs w:val="0"/>
          <w:color w:val="auto"/>
          <w:sz w:val="24"/>
          <w:highlight w:val="none"/>
        </w:rPr>
      </w:pPr>
      <w:bookmarkStart w:id="480" w:name="_Toc8280"/>
      <w:bookmarkStart w:id="481" w:name="_Toc1649"/>
      <w:bookmarkStart w:id="482" w:name="_Toc13699"/>
      <w:r>
        <w:rPr>
          <w:rFonts w:hint="eastAsia" w:ascii="仿宋_GB2312" w:hAnsi="仿宋_GB2312" w:eastAsia="仿宋_GB2312" w:cs="仿宋_GB2312"/>
          <w:b/>
          <w:bCs w:val="0"/>
          <w:color w:val="auto"/>
          <w:sz w:val="24"/>
          <w:highlight w:val="none"/>
        </w:rPr>
        <w:t>第</w:t>
      </w:r>
      <w:r>
        <w:rPr>
          <w:rFonts w:hint="eastAsia" w:ascii="仿宋_GB2312" w:hAnsi="仿宋_GB2312" w:eastAsia="仿宋_GB2312" w:cs="仿宋_GB2312"/>
          <w:b/>
          <w:bCs w:val="0"/>
          <w:color w:val="auto"/>
          <w:sz w:val="24"/>
          <w:highlight w:val="none"/>
          <w:lang w:val="en-US" w:eastAsia="zh-CN"/>
        </w:rPr>
        <w:t>五</w:t>
      </w:r>
      <w:r>
        <w:rPr>
          <w:rFonts w:hint="eastAsia" w:ascii="仿宋_GB2312" w:hAnsi="仿宋_GB2312" w:eastAsia="仿宋_GB2312" w:cs="仿宋_GB2312"/>
          <w:b/>
          <w:bCs w:val="0"/>
          <w:color w:val="auto"/>
          <w:sz w:val="24"/>
          <w:highlight w:val="none"/>
        </w:rPr>
        <w:t>条 法律服务费用及支付方式</w:t>
      </w:r>
      <w:bookmarkEnd w:id="480"/>
      <w:bookmarkEnd w:id="481"/>
      <w:bookmarkEnd w:id="482"/>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（一）乙方为甲方提供</w:t>
      </w:r>
      <w:r>
        <w:rPr>
          <w:rFonts w:hint="eastAsia" w:ascii="仿宋_GB2312" w:hAnsi="仿宋_GB2312" w:eastAsia="仿宋_GB2312" w:cs="仿宋_GB2312"/>
          <w:bCs/>
          <w:color w:val="auto"/>
          <w:sz w:val="24"/>
          <w:highlight w:val="none"/>
          <w:lang w:eastAsia="zh-CN"/>
        </w:rPr>
        <w:t>2024年度常年法律</w:t>
      </w:r>
      <w:r>
        <w:rPr>
          <w:rFonts w:hint="eastAsia" w:ascii="仿宋_GB2312" w:hAnsi="仿宋_GB2312" w:eastAsia="仿宋_GB2312" w:cs="仿宋_GB2312"/>
          <w:bCs/>
          <w:color w:val="auto"/>
          <w:sz w:val="24"/>
          <w:highlight w:val="none"/>
        </w:rPr>
        <w:t>顾问服务的期限为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u w:val="single"/>
          <w:lang w:val="en-US" w:eastAsia="zh-CN"/>
        </w:rPr>
        <w:t>1</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年，具体为</w:t>
      </w:r>
      <w:r>
        <w:rPr>
          <w:rFonts w:hint="eastAsia" w:ascii="仿宋_GB2312" w:hAnsi="仿宋_GB2312" w:eastAsia="仿宋_GB2312" w:cs="仿宋_GB2312"/>
          <w:bCs/>
          <w:color w:val="auto"/>
          <w:sz w:val="24"/>
          <w:highlight w:val="none"/>
          <w:lang w:eastAsia="zh-CN"/>
        </w:rPr>
        <w:t>2024</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日至</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日。甲乙协商一致乙方收取的法律服务费用为（人民币大写）  万元整（小写：人民币    .00元）。</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（二）上述第（一）项所列律师费不包含下列单项法律服务的酬金：</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1、代理参加诉讼、仲裁、行政复议、刑事辩护等诉讼案件；</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需要单项收取律师费的事务，</w:t>
      </w:r>
      <w:r>
        <w:rPr>
          <w:rFonts w:hint="eastAsia" w:ascii="仿宋_GB2312" w:hAnsi="仿宋_GB2312" w:eastAsia="仿宋_GB2312" w:cs="仿宋_GB2312"/>
          <w:bCs/>
          <w:color w:val="auto"/>
          <w:sz w:val="24"/>
          <w:highlight w:val="none"/>
          <w:lang w:val="en-US" w:eastAsia="zh-CN"/>
        </w:rPr>
        <w:t>如较大或特大金额业务咨询，</w:t>
      </w:r>
      <w:r>
        <w:rPr>
          <w:rFonts w:hint="eastAsia" w:ascii="仿宋_GB2312" w:hAnsi="仿宋_GB2312" w:eastAsia="仿宋_GB2312" w:cs="仿宋_GB2312"/>
          <w:bCs/>
          <w:color w:val="auto"/>
          <w:sz w:val="24"/>
          <w:highlight w:val="none"/>
        </w:rPr>
        <w:t>由甲乙另行办理授权委托手续和收取费用（但给予优惠）。</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（三）本条所规定的律师费，包括乙方律师为甲方提供服务时发生的交通、食宿费用。</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乙方律师因为甲方提供顾问服务的需要而发生的工作费用（如：工商、土地、房产等政府部门收取的调查费、查证费、复印费等），不包括在律师费之中，根据实际支出情况由甲方据实报销。</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（四）法律服务费用支付方式： </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在签订本合同后十个工作日内，甲方向乙方支付人民币</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元（大写：   元整）；余下款项，在乙方提供</w:t>
      </w:r>
      <w:r>
        <w:rPr>
          <w:rFonts w:hint="eastAsia" w:ascii="仿宋_GB2312" w:hAnsi="仿宋_GB2312" w:eastAsia="仿宋_GB2312" w:cs="仿宋_GB2312"/>
          <w:bCs/>
          <w:color w:val="auto"/>
          <w:sz w:val="24"/>
          <w:highlight w:val="none"/>
          <w:lang w:eastAsia="zh-CN"/>
        </w:rPr>
        <w:t>2024年度常年法律</w:t>
      </w:r>
      <w:r>
        <w:rPr>
          <w:rFonts w:hint="eastAsia" w:ascii="仿宋_GB2312" w:hAnsi="仿宋_GB2312" w:eastAsia="仿宋_GB2312" w:cs="仿宋_GB2312"/>
          <w:bCs/>
          <w:color w:val="auto"/>
          <w:sz w:val="24"/>
          <w:highlight w:val="none"/>
        </w:rPr>
        <w:t>顾问工作满6个月后10个工作日内，甲方向乙方一次性付清。</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乙方账户信息：</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银行账户名称：</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开户行：</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账  号：</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发票信息如下：</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单位名称：</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纳税人识别号：</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地址：</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电话：</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开户银行：</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账号：</w:t>
      </w:r>
    </w:p>
    <w:p>
      <w:pPr>
        <w:spacing w:line="460" w:lineRule="exact"/>
        <w:jc w:val="left"/>
        <w:rPr>
          <w:rFonts w:ascii="仿宋_GB2312" w:hAnsi="仿宋_GB2312" w:eastAsia="仿宋_GB2312" w:cs="仿宋_GB2312"/>
          <w:b/>
          <w:color w:val="auto"/>
          <w:sz w:val="24"/>
          <w:highlight w:val="none"/>
        </w:rPr>
      </w:pPr>
      <w:bookmarkStart w:id="483" w:name="_Toc20782"/>
      <w:bookmarkStart w:id="484" w:name="_Toc15927"/>
      <w:bookmarkStart w:id="485" w:name="_Toc17073"/>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六</w:t>
      </w:r>
      <w:r>
        <w:rPr>
          <w:rFonts w:hint="eastAsia" w:ascii="仿宋_GB2312" w:hAnsi="仿宋_GB2312" w:eastAsia="仿宋_GB2312" w:cs="仿宋_GB2312"/>
          <w:b/>
          <w:color w:val="auto"/>
          <w:sz w:val="24"/>
          <w:highlight w:val="none"/>
        </w:rPr>
        <w:t>条 甲方的权利及义务</w:t>
      </w:r>
      <w:bookmarkEnd w:id="483"/>
      <w:bookmarkEnd w:id="484"/>
      <w:bookmarkEnd w:id="485"/>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（一）甲方对于乙方的工作享有知情权，有权向乙方询问工作进展；</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（二）有权对乙方律师提供法律服务的时限、质量提出具体要求；</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（三）有权要求乙方律师就所咨询的法律问题出具法律意见书；</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（四）有权要求乙方履行本合同所约定的全部义务；</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（五）本合同有效期届满后，乙方的保密义务不因本合同的终止而消除；</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（六）为乙方律师提供所咨询法律问题的证据和相关资料，以便律师提出恰当的法律意见；</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（七）乙方进行的顾问工作，如因故意或违法而出现重大法律失误，甲方有权以书面形式解除合同，并有权索回已付律师费。</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（八）甲方应当按照本合同约定的时间、数额支付律师费，承担乙方律师为办理甲方事务到</w:t>
      </w:r>
      <w:r>
        <w:rPr>
          <w:rFonts w:hint="eastAsia" w:ascii="仿宋_GB2312" w:hAnsi="仿宋_GB2312" w:eastAsia="仿宋_GB2312" w:cs="仿宋_GB2312"/>
          <w:bCs/>
          <w:color w:val="auto"/>
          <w:sz w:val="24"/>
          <w:highlight w:val="none"/>
          <w:lang w:val="en-US" w:eastAsia="zh-CN"/>
        </w:rPr>
        <w:t>成都</w:t>
      </w:r>
      <w:r>
        <w:rPr>
          <w:rFonts w:hint="eastAsia" w:ascii="仿宋_GB2312" w:hAnsi="仿宋_GB2312" w:eastAsia="仿宋_GB2312" w:cs="仿宋_GB2312"/>
          <w:bCs/>
          <w:color w:val="auto"/>
          <w:sz w:val="24"/>
          <w:highlight w:val="none"/>
        </w:rPr>
        <w:t>市以外地方出差的交通费、住宿费等费用；</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（九）为便利乙方律师工作，甲方应指定固定的联系人并给予乙方其他必要协助。</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（十）对于乙方向甲方出具的法律意见书等具有保密义务，未经乙方同意，不得向第三方透露或提供给第三方使用，</w:t>
      </w:r>
      <w:r>
        <w:rPr>
          <w:rFonts w:hint="eastAsia" w:ascii="仿宋_GB2312" w:hAnsi="仿宋_GB2312" w:eastAsia="仿宋_GB2312" w:cs="仿宋_GB2312"/>
          <w:bCs/>
          <w:color w:val="auto"/>
          <w:sz w:val="24"/>
          <w:highlight w:val="none"/>
          <w:lang w:eastAsia="zh-CN"/>
        </w:rPr>
        <w:t>即使</w:t>
      </w:r>
      <w:r>
        <w:rPr>
          <w:rFonts w:hint="eastAsia" w:ascii="仿宋_GB2312" w:hAnsi="仿宋_GB2312" w:eastAsia="仿宋_GB2312" w:cs="仿宋_GB2312"/>
          <w:bCs/>
          <w:color w:val="auto"/>
          <w:sz w:val="24"/>
          <w:highlight w:val="none"/>
        </w:rPr>
        <w:t>本合同已接触（终止），甲方的该项义务也不予免除；</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（十一）无正当理由乙方拒绝为甲方提供服务的，甲方有权解除合同，并要求退还已付费用。</w:t>
      </w:r>
    </w:p>
    <w:p>
      <w:pPr>
        <w:spacing w:line="460" w:lineRule="exact"/>
        <w:jc w:val="left"/>
        <w:rPr>
          <w:rFonts w:ascii="仿宋_GB2312" w:hAnsi="仿宋_GB2312" w:eastAsia="仿宋_GB2312" w:cs="仿宋_GB2312"/>
          <w:b/>
          <w:color w:val="auto"/>
          <w:sz w:val="24"/>
          <w:highlight w:val="none"/>
        </w:rPr>
      </w:pPr>
      <w:bookmarkStart w:id="486" w:name="_Toc26723"/>
      <w:bookmarkStart w:id="487" w:name="_Toc22681"/>
      <w:bookmarkStart w:id="488" w:name="_Toc22488"/>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七</w:t>
      </w:r>
      <w:r>
        <w:rPr>
          <w:rFonts w:hint="eastAsia" w:ascii="仿宋_GB2312" w:hAnsi="仿宋_GB2312" w:eastAsia="仿宋_GB2312" w:cs="仿宋_GB2312"/>
          <w:b/>
          <w:color w:val="auto"/>
          <w:sz w:val="24"/>
          <w:highlight w:val="none"/>
        </w:rPr>
        <w:t>条 乙方权利和义务</w:t>
      </w:r>
      <w:bookmarkEnd w:id="486"/>
      <w:bookmarkEnd w:id="487"/>
      <w:bookmarkEnd w:id="488"/>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（一）乙方律师有权获得其将提供法律服务的法律问题的全部信息，包括但不限于实施方面的证据材料；</w:t>
      </w:r>
    </w:p>
    <w:p>
      <w:pPr>
        <w:keepNext/>
        <w:keepLines/>
        <w:widowControl w:val="0"/>
        <w:ind w:firstLine="480" w:firstLineChars="200"/>
        <w:jc w:val="both"/>
        <w:outlineLvl w:val="3"/>
        <w:rPr>
          <w:rFonts w:ascii="Times New Roman" w:hAnsi="Times New Roman" w:eastAsia="仿宋_GB2312" w:cs="Times New Roman"/>
          <w:color w:val="auto"/>
          <w:kern w:val="2"/>
          <w:sz w:val="21"/>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（二）乙方律师有权获得必要的工作条件和甲方有关员工的密切配合；</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（三）乙方有权要求甲方按照本合同的约定履行其义务；</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（四）乙方不得从事有损于甲方合法权益的活动，不得在诉讼和仲裁程序中同时担任对立双方当事人的代理人。</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（五）如乙方律师同时受聘的两个（或两个以上）顾问单位之间发生争议时，乙方应当进行调解，非经甲方同意乙方不能代理任何一方。</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（六）如果甲方法律事务在与顾问律师</w:t>
      </w:r>
      <w:r>
        <w:rPr>
          <w:rFonts w:hint="eastAsia" w:ascii="仿宋_GB2312" w:hAnsi="仿宋_GB2312" w:eastAsia="仿宋_GB2312" w:cs="仿宋_GB2312"/>
          <w:bCs/>
          <w:color w:val="auto"/>
          <w:sz w:val="24"/>
          <w:highlight w:val="none"/>
          <w:lang w:eastAsia="zh-CN"/>
        </w:rPr>
        <w:t>其他</w:t>
      </w:r>
      <w:r>
        <w:rPr>
          <w:rFonts w:hint="eastAsia" w:ascii="仿宋_GB2312" w:hAnsi="仿宋_GB2312" w:eastAsia="仿宋_GB2312" w:cs="仿宋_GB2312"/>
          <w:bCs/>
          <w:color w:val="auto"/>
          <w:sz w:val="24"/>
          <w:highlight w:val="none"/>
        </w:rPr>
        <w:t>工作冲突时，顾问律师应当优先办理甲方的法律事务，如遇开庭、出差在外或其他客观障碍确实不能提供服务时，乙方应临时指派其他律师替代。</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（七）如乙方律师违反法律或本协议约定、职业道德造成甲方经济或名誉损失，乙方应按法律规定向甲方进行赔偿。</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（八）如乙方无故终止履行本协议，乙方应当退还甲方服务期间内已支付费用。如乙方无故终止履行本协议对乙方正在为甲方提供服务的事项造成损失的，乙方应按法律规定向甲方进行赔偿。</w:t>
      </w:r>
    </w:p>
    <w:p>
      <w:pPr>
        <w:spacing w:line="460" w:lineRule="exact"/>
        <w:jc w:val="left"/>
        <w:rPr>
          <w:rFonts w:ascii="仿宋_GB2312" w:hAnsi="仿宋_GB2312" w:eastAsia="仿宋_GB2312" w:cs="仿宋_GB2312"/>
          <w:b/>
          <w:color w:val="auto"/>
          <w:sz w:val="24"/>
          <w:highlight w:val="none"/>
        </w:rPr>
      </w:pPr>
      <w:bookmarkStart w:id="489" w:name="_Toc6919"/>
      <w:bookmarkStart w:id="490" w:name="_Toc5885"/>
      <w:bookmarkStart w:id="491" w:name="_Toc32021"/>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八</w:t>
      </w:r>
      <w:r>
        <w:rPr>
          <w:rFonts w:hint="eastAsia" w:ascii="仿宋_GB2312" w:hAnsi="仿宋_GB2312" w:eastAsia="仿宋_GB2312" w:cs="仿宋_GB2312"/>
          <w:b/>
          <w:color w:val="auto"/>
          <w:sz w:val="24"/>
          <w:highlight w:val="none"/>
        </w:rPr>
        <w:t>条 补充合同</w:t>
      </w:r>
      <w:bookmarkEnd w:id="489"/>
      <w:bookmarkEnd w:id="490"/>
      <w:bookmarkEnd w:id="491"/>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本合同未尽事宜，双方可另行协商并签订补充合同。补充合同生效后与本合同具有同等法律效力。</w:t>
      </w:r>
    </w:p>
    <w:p>
      <w:pPr>
        <w:spacing w:line="460" w:lineRule="exact"/>
        <w:jc w:val="left"/>
        <w:rPr>
          <w:rFonts w:ascii="仿宋_GB2312" w:hAnsi="仿宋_GB2312" w:eastAsia="仿宋_GB2312" w:cs="仿宋_GB2312"/>
          <w:b/>
          <w:color w:val="auto"/>
          <w:sz w:val="24"/>
          <w:highlight w:val="none"/>
        </w:rPr>
      </w:pPr>
      <w:bookmarkStart w:id="492" w:name="_Toc11855"/>
      <w:bookmarkStart w:id="493" w:name="_Toc13994"/>
      <w:bookmarkStart w:id="494" w:name="_Toc24416"/>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九</w:t>
      </w:r>
      <w:r>
        <w:rPr>
          <w:rFonts w:hint="eastAsia" w:ascii="仿宋_GB2312" w:hAnsi="仿宋_GB2312" w:eastAsia="仿宋_GB2312" w:cs="仿宋_GB2312"/>
          <w:b/>
          <w:color w:val="auto"/>
          <w:sz w:val="24"/>
          <w:highlight w:val="none"/>
        </w:rPr>
        <w:t>条 争议的解决</w:t>
      </w:r>
      <w:bookmarkEnd w:id="492"/>
      <w:bookmarkEnd w:id="493"/>
      <w:bookmarkEnd w:id="494"/>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如果在履行本合同过程中产生争议，双方应本着友好的态度协商解决。协商仍不能解决的，任何一方均有权向甲方所在地人民法院提起诉讼。</w:t>
      </w:r>
    </w:p>
    <w:p>
      <w:pPr>
        <w:spacing w:line="460" w:lineRule="exact"/>
        <w:jc w:val="left"/>
        <w:rPr>
          <w:rFonts w:ascii="仿宋_GB2312" w:hAnsi="仿宋_GB2312" w:eastAsia="仿宋_GB2312" w:cs="仿宋_GB2312"/>
          <w:b/>
          <w:color w:val="auto"/>
          <w:sz w:val="24"/>
          <w:highlight w:val="none"/>
        </w:rPr>
      </w:pPr>
      <w:bookmarkStart w:id="495" w:name="_Toc28245"/>
      <w:bookmarkStart w:id="496" w:name="_Toc30087"/>
      <w:bookmarkStart w:id="497" w:name="_Toc4576"/>
      <w:r>
        <w:rPr>
          <w:rFonts w:hint="eastAsia" w:ascii="仿宋_GB2312" w:hAnsi="仿宋_GB2312" w:eastAsia="仿宋_GB2312" w:cs="仿宋_GB2312"/>
          <w:b/>
          <w:color w:val="auto"/>
          <w:sz w:val="24"/>
          <w:highlight w:val="none"/>
        </w:rPr>
        <w:t>第</w:t>
      </w:r>
      <w:r>
        <w:rPr>
          <w:rFonts w:hint="eastAsia" w:ascii="仿宋_GB2312" w:hAnsi="仿宋_GB2312" w:eastAsia="仿宋_GB2312" w:cs="仿宋_GB2312"/>
          <w:b/>
          <w:color w:val="auto"/>
          <w:sz w:val="24"/>
          <w:highlight w:val="none"/>
          <w:lang w:val="en-US" w:eastAsia="zh-CN"/>
        </w:rPr>
        <w:t>十</w:t>
      </w:r>
      <w:r>
        <w:rPr>
          <w:rFonts w:hint="eastAsia" w:ascii="仿宋_GB2312" w:hAnsi="仿宋_GB2312" w:eastAsia="仿宋_GB2312" w:cs="仿宋_GB2312"/>
          <w:b/>
          <w:color w:val="auto"/>
          <w:sz w:val="24"/>
          <w:highlight w:val="none"/>
        </w:rPr>
        <w:t>条 合同生效时间及履行期限</w:t>
      </w:r>
      <w:bookmarkEnd w:id="495"/>
      <w:bookmarkEnd w:id="496"/>
      <w:bookmarkEnd w:id="497"/>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本合同自甲、乙双方法定代表人或授权委托人签章并加盖单位公章之日起生效，履行期限为   年。</w:t>
      </w:r>
    </w:p>
    <w:p>
      <w:pPr>
        <w:spacing w:line="460" w:lineRule="exact"/>
        <w:jc w:val="left"/>
        <w:rPr>
          <w:rFonts w:ascii="仿宋_GB2312" w:hAnsi="仿宋_GB2312" w:eastAsia="仿宋_GB2312" w:cs="仿宋_GB2312"/>
          <w:b/>
          <w:color w:val="auto"/>
          <w:sz w:val="24"/>
          <w:highlight w:val="none"/>
        </w:rPr>
      </w:pPr>
      <w:bookmarkStart w:id="498" w:name="_Toc29145"/>
      <w:bookmarkStart w:id="499" w:name="_Toc5104"/>
      <w:bookmarkStart w:id="500" w:name="_Toc23657"/>
      <w:r>
        <w:rPr>
          <w:rFonts w:hint="eastAsia" w:ascii="仿宋_GB2312" w:hAnsi="仿宋_GB2312" w:eastAsia="仿宋_GB2312" w:cs="仿宋_GB2312"/>
          <w:b/>
          <w:color w:val="auto"/>
          <w:sz w:val="24"/>
          <w:highlight w:val="none"/>
        </w:rPr>
        <w:t>第十</w:t>
      </w:r>
      <w:r>
        <w:rPr>
          <w:rFonts w:hint="eastAsia" w:ascii="仿宋_GB2312" w:hAnsi="仿宋_GB2312" w:eastAsia="仿宋_GB2312" w:cs="仿宋_GB2312"/>
          <w:b/>
          <w:color w:val="auto"/>
          <w:sz w:val="24"/>
          <w:highlight w:val="none"/>
          <w:lang w:val="en-US" w:eastAsia="zh-CN"/>
        </w:rPr>
        <w:t>一</w:t>
      </w:r>
      <w:r>
        <w:rPr>
          <w:rFonts w:hint="eastAsia" w:ascii="仿宋_GB2312" w:hAnsi="仿宋_GB2312" w:eastAsia="仿宋_GB2312" w:cs="仿宋_GB2312"/>
          <w:b/>
          <w:color w:val="auto"/>
          <w:sz w:val="24"/>
          <w:highlight w:val="none"/>
        </w:rPr>
        <w:t>条 其他</w:t>
      </w:r>
      <w:bookmarkEnd w:id="498"/>
      <w:bookmarkEnd w:id="499"/>
      <w:bookmarkEnd w:id="500"/>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本合同用中文书写，一式肆份，甲方持贰份，乙方贰份。</w:t>
      </w:r>
    </w:p>
    <w:p>
      <w:pPr>
        <w:spacing w:line="4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（以下无正文）</w:t>
      </w:r>
    </w:p>
    <w:p>
      <w:pPr>
        <w:spacing w:line="460" w:lineRule="exact"/>
        <w:ind w:firstLine="480" w:firstLineChars="200"/>
        <w:jc w:val="left"/>
        <w:rPr>
          <w:rFonts w:ascii="仿宋_GB2312" w:hAnsi="仿宋_GB2312" w:eastAsia="仿宋_GB2312" w:cs="仿宋_GB2312"/>
          <w:bCs/>
          <w:color w:val="auto"/>
          <w:sz w:val="24"/>
          <w:highlight w:val="none"/>
        </w:rPr>
      </w:pPr>
    </w:p>
    <w:p>
      <w:pPr>
        <w:spacing w:line="460" w:lineRule="exact"/>
        <w:jc w:val="left"/>
        <w:rPr>
          <w:rFonts w:ascii="仿宋_GB2312" w:hAnsi="仿宋_GB2312" w:eastAsia="仿宋_GB2312" w:cs="仿宋_GB2312"/>
          <w:b/>
          <w:color w:val="auto"/>
          <w:sz w:val="24"/>
          <w:highlight w:val="none"/>
        </w:rPr>
      </w:pPr>
      <w:bookmarkStart w:id="501" w:name="_Toc474327066"/>
      <w:bookmarkStart w:id="502" w:name="_Toc474502608"/>
      <w:bookmarkStart w:id="503" w:name="_Toc505261938"/>
      <w:bookmarkStart w:id="504" w:name="_Toc466391967"/>
      <w:bookmarkStart w:id="505" w:name="_Toc361325820"/>
      <w:bookmarkStart w:id="506" w:name="_Toc29829"/>
      <w:bookmarkStart w:id="507" w:name="_Toc513469076"/>
      <w:bookmarkStart w:id="508" w:name="_Toc8347"/>
      <w:bookmarkStart w:id="509" w:name="_Toc18854"/>
      <w:r>
        <w:rPr>
          <w:rFonts w:hint="eastAsia" w:ascii="仿宋_GB2312" w:hAnsi="仿宋_GB2312" w:eastAsia="仿宋_GB2312" w:cs="仿宋_GB2312"/>
          <w:b/>
          <w:color w:val="auto"/>
          <w:sz w:val="24"/>
          <w:highlight w:val="none"/>
        </w:rPr>
        <w:t>第十</w:t>
      </w:r>
      <w:r>
        <w:rPr>
          <w:rFonts w:hint="eastAsia" w:ascii="仿宋_GB2312" w:hAnsi="仿宋_GB2312" w:eastAsia="仿宋_GB2312" w:cs="仿宋_GB2312"/>
          <w:b/>
          <w:color w:val="auto"/>
          <w:sz w:val="24"/>
          <w:highlight w:val="none"/>
          <w:lang w:val="en-US" w:eastAsia="zh-CN"/>
        </w:rPr>
        <w:t>二</w:t>
      </w:r>
      <w:r>
        <w:rPr>
          <w:rFonts w:hint="eastAsia" w:ascii="仿宋_GB2312" w:hAnsi="仿宋_GB2312" w:eastAsia="仿宋_GB2312" w:cs="仿宋_GB2312"/>
          <w:b/>
          <w:color w:val="auto"/>
          <w:sz w:val="24"/>
          <w:highlight w:val="none"/>
        </w:rPr>
        <w:t>条  附件</w:t>
      </w:r>
      <w:bookmarkEnd w:id="501"/>
      <w:bookmarkEnd w:id="502"/>
      <w:bookmarkEnd w:id="503"/>
      <w:bookmarkEnd w:id="504"/>
      <w:bookmarkEnd w:id="505"/>
      <w:bookmarkEnd w:id="506"/>
      <w:bookmarkEnd w:id="507"/>
      <w:bookmarkEnd w:id="508"/>
      <w:bookmarkEnd w:id="509"/>
    </w:p>
    <w:p>
      <w:pPr>
        <w:spacing w:line="460" w:lineRule="exact"/>
        <w:ind w:firstLine="480" w:firstLineChars="200"/>
        <w:jc w:val="left"/>
        <w:rPr>
          <w:rFonts w:ascii="仿宋_GB2312" w:hAnsi="仿宋_GB2312" w:eastAsia="仿宋_GB2312" w:cs="仿宋_GB2312"/>
          <w:bCs/>
          <w:color w:val="auto"/>
          <w:sz w:val="24"/>
          <w:highlight w:val="none"/>
        </w:rPr>
      </w:pPr>
      <w:bookmarkStart w:id="510" w:name="_Toc7234"/>
      <w:r>
        <w:rPr>
          <w:rFonts w:hint="eastAsia" w:ascii="仿宋_GB2312" w:hAnsi="仿宋_GB2312" w:eastAsia="仿宋_GB2312" w:cs="仿宋_GB2312"/>
          <w:bCs/>
          <w:color w:val="auto"/>
          <w:sz w:val="24"/>
          <w:highlight w:val="none"/>
        </w:rPr>
        <w:t>1.项目比选文件</w:t>
      </w:r>
      <w:bookmarkEnd w:id="510"/>
    </w:p>
    <w:p>
      <w:pPr>
        <w:spacing w:line="460" w:lineRule="exact"/>
        <w:ind w:firstLine="480" w:firstLineChars="200"/>
        <w:jc w:val="left"/>
        <w:rPr>
          <w:rFonts w:ascii="仿宋_GB2312" w:hAnsi="仿宋_GB2312" w:eastAsia="仿宋_GB2312" w:cs="仿宋_GB2312"/>
          <w:bCs/>
          <w:color w:val="auto"/>
          <w:sz w:val="24"/>
          <w:highlight w:val="none"/>
        </w:rPr>
      </w:pPr>
      <w:bookmarkStart w:id="511" w:name="_Toc30140"/>
      <w:r>
        <w:rPr>
          <w:rFonts w:hint="eastAsia" w:ascii="仿宋_GB2312" w:hAnsi="仿宋_GB2312" w:eastAsia="仿宋_GB2312" w:cs="仿宋_GB2312"/>
          <w:bCs/>
          <w:color w:val="auto"/>
          <w:sz w:val="24"/>
          <w:highlight w:val="none"/>
        </w:rPr>
        <w:t>2.项目修改澄清文件</w:t>
      </w:r>
      <w:bookmarkEnd w:id="511"/>
    </w:p>
    <w:p>
      <w:pPr>
        <w:spacing w:line="460" w:lineRule="exact"/>
        <w:ind w:firstLine="480" w:firstLineChars="200"/>
        <w:jc w:val="left"/>
        <w:rPr>
          <w:rFonts w:ascii="仿宋_GB2312" w:hAnsi="仿宋_GB2312" w:eastAsia="仿宋_GB2312" w:cs="仿宋_GB2312"/>
          <w:bCs/>
          <w:color w:val="auto"/>
          <w:sz w:val="24"/>
          <w:highlight w:val="none"/>
        </w:rPr>
      </w:pPr>
      <w:bookmarkStart w:id="512" w:name="_Toc6003"/>
      <w:r>
        <w:rPr>
          <w:rFonts w:hint="eastAsia" w:ascii="仿宋_GB2312" w:hAnsi="仿宋_GB2312" w:eastAsia="仿宋_GB2312" w:cs="仿宋_GB2312"/>
          <w:bCs/>
          <w:color w:val="auto"/>
          <w:sz w:val="24"/>
          <w:highlight w:val="none"/>
        </w:rPr>
        <w:t>3.项目比选申请书</w:t>
      </w:r>
      <w:bookmarkEnd w:id="512"/>
    </w:p>
    <w:p>
      <w:pPr>
        <w:spacing w:line="460" w:lineRule="exact"/>
        <w:ind w:firstLine="480" w:firstLineChars="200"/>
        <w:jc w:val="left"/>
        <w:rPr>
          <w:rFonts w:ascii="仿宋_GB2312" w:hAnsi="仿宋_GB2312" w:eastAsia="仿宋_GB2312" w:cs="仿宋_GB2312"/>
          <w:bCs/>
          <w:color w:val="auto"/>
          <w:sz w:val="24"/>
          <w:highlight w:val="none"/>
        </w:rPr>
      </w:pPr>
      <w:bookmarkStart w:id="513" w:name="_Toc11660"/>
      <w:r>
        <w:rPr>
          <w:rFonts w:hint="eastAsia" w:ascii="仿宋_GB2312" w:hAnsi="仿宋_GB2312" w:eastAsia="仿宋_GB2312" w:cs="仿宋_GB2312"/>
          <w:bCs/>
          <w:color w:val="auto"/>
          <w:sz w:val="24"/>
          <w:highlight w:val="none"/>
        </w:rPr>
        <w:t>4.中选通知书</w:t>
      </w:r>
      <w:bookmarkEnd w:id="513"/>
    </w:p>
    <w:p>
      <w:pPr>
        <w:spacing w:line="460" w:lineRule="exact"/>
        <w:ind w:firstLine="480" w:firstLineChars="200"/>
        <w:jc w:val="left"/>
        <w:rPr>
          <w:rFonts w:ascii="仿宋_GB2312" w:hAnsi="仿宋_GB2312" w:eastAsia="仿宋_GB2312" w:cs="仿宋_GB2312"/>
          <w:color w:val="auto"/>
          <w:sz w:val="24"/>
          <w:highlight w:val="none"/>
        </w:rPr>
      </w:pPr>
      <w:bookmarkStart w:id="514" w:name="_Toc10357"/>
      <w:r>
        <w:rPr>
          <w:rFonts w:hint="eastAsia" w:ascii="仿宋_GB2312" w:hAnsi="仿宋_GB2312" w:eastAsia="仿宋_GB2312" w:cs="仿宋_GB2312"/>
          <w:bCs/>
          <w:color w:val="auto"/>
          <w:sz w:val="24"/>
          <w:highlight w:val="none"/>
        </w:rPr>
        <w:t>5.本合同的其他附件</w:t>
      </w:r>
      <w:bookmarkEnd w:id="514"/>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甲方：   （单位公章）   </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 xml:space="preserve">    乙方：   （单位公章）</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法定代表人（授权代表）：        法定代表人（授权代表）：</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                     地    址：</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                     开户银行：</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                         账号：</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    话：                     电    话：</w:t>
      </w:r>
    </w:p>
    <w:p>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传    真：</w:t>
      </w:r>
    </w:p>
    <w:p>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签约日期：XX年XX月XX日 </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 xml:space="preserve"> 签约日期：XX年XX月XX日</w:t>
      </w:r>
    </w:p>
    <w:p>
      <w:pPr>
        <w:spacing w:line="460" w:lineRule="exact"/>
        <w:rPr>
          <w:rFonts w:ascii="仿宋_GB2312" w:hAnsi="仿宋_GB2312" w:eastAsia="仿宋_GB2312" w:cs="仿宋_GB2312"/>
          <w:color w:val="auto"/>
          <w:sz w:val="24"/>
          <w:highlight w:val="none"/>
        </w:rPr>
      </w:pPr>
    </w:p>
    <w:p>
      <w:pPr>
        <w:rPr>
          <w:rFonts w:ascii="Calibri" w:hAnsi="Calibri"/>
          <w:b/>
          <w:bCs/>
          <w:color w:val="auto"/>
          <w:sz w:val="28"/>
          <w:szCs w:val="28"/>
          <w:highlight w:val="none"/>
        </w:rPr>
      </w:pPr>
      <w:r>
        <w:rPr>
          <w:rFonts w:ascii="Calibri" w:hAnsi="Calibri"/>
          <w:b/>
          <w:bCs/>
          <w:color w:val="auto"/>
          <w:sz w:val="28"/>
          <w:szCs w:val="28"/>
          <w:highlight w:val="none"/>
        </w:rPr>
        <w:br w:type="page"/>
      </w:r>
    </w:p>
    <w:p>
      <w:pPr>
        <w:pageBreakBefore w:val="0"/>
        <w:kinsoku/>
        <w:wordWrap/>
        <w:overflowPunct/>
        <w:topLinePunct w:val="0"/>
        <w:autoSpaceDE/>
        <w:autoSpaceDN/>
        <w:bidi w:val="0"/>
        <w:adjustRightInd/>
        <w:snapToGrid/>
        <w:spacing w:line="560" w:lineRule="exact"/>
        <w:ind w:firstLine="420" w:firstLineChars="200"/>
        <w:jc w:val="right"/>
        <w:textAlignment w:val="auto"/>
        <w:rPr>
          <w:rFonts w:hint="default" w:ascii="黑体" w:hAnsi="黑体" w:eastAsia="黑体" w:cs="黑体"/>
          <w:lang w:val="en-US" w:eastAsia="zh-CN"/>
        </w:rPr>
      </w:pPr>
    </w:p>
    <w:sectPr>
      <w:headerReference r:id="rId8" w:type="default"/>
      <w:footerReference r:id="rId10" w:type="default"/>
      <w:headerReference r:id="rId9" w:type="even"/>
      <w:footerReference r:id="rId11" w:type="even"/>
      <w:pgSz w:w="11906" w:h="16838"/>
      <w:pgMar w:top="2098" w:right="1531" w:bottom="1985" w:left="1531"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BCACCE-E560-4416-8CD7-9D058DF85A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900258-1BFB-4C35-AC3E-200B2376B385}"/>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4958DCD-1CCB-4F5C-8768-D92703B13F9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B126E0F7-61E9-4764-87D7-9A6BD2C3FA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Fonts w:ascii="宋体" w:hAnsi="宋体"/>
        <w:sz w:val="28"/>
        <w:szCs w:val="28"/>
      </w:rPr>
    </w:pP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Fonts w:ascii="宋体" w:hAnsi="宋体"/>
        <w:sz w:val="28"/>
        <w:szCs w:val="28"/>
      </w:rPr>
    </w:pP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F76C0"/>
    <w:multiLevelType w:val="singleLevel"/>
    <w:tmpl w:val="B0DF76C0"/>
    <w:lvl w:ilvl="0" w:tentative="0">
      <w:start w:val="12"/>
      <w:numFmt w:val="chineseCounting"/>
      <w:suff w:val="nothing"/>
      <w:lvlText w:val="%1、"/>
      <w:lvlJc w:val="left"/>
      <w:rPr>
        <w:rFonts w:hint="eastAsia"/>
      </w:rPr>
    </w:lvl>
  </w:abstractNum>
  <w:abstractNum w:abstractNumId="1">
    <w:nsid w:val="D316E8EB"/>
    <w:multiLevelType w:val="singleLevel"/>
    <w:tmpl w:val="D316E8EB"/>
    <w:lvl w:ilvl="0" w:tentative="0">
      <w:start w:val="2"/>
      <w:numFmt w:val="chineseCounting"/>
      <w:suff w:val="space"/>
      <w:lvlText w:val="第%1条"/>
      <w:lvlJc w:val="left"/>
      <w:rPr>
        <w:rFonts w:hint="eastAsia"/>
      </w:rPr>
    </w:lvl>
  </w:abstractNum>
  <w:abstractNum w:abstractNumId="2">
    <w:nsid w:val="F1BE9354"/>
    <w:multiLevelType w:val="singleLevel"/>
    <w:tmpl w:val="F1BE9354"/>
    <w:lvl w:ilvl="0" w:tentative="0">
      <w:start w:val="1"/>
      <w:numFmt w:val="chineseCounting"/>
      <w:suff w:val="nothing"/>
      <w:lvlText w:val="（%1）"/>
      <w:lvlJc w:val="left"/>
      <w:rPr>
        <w:rFonts w:hint="eastAsia"/>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FD3D5A6"/>
    <w:multiLevelType w:val="singleLevel"/>
    <w:tmpl w:val="4FD3D5A6"/>
    <w:lvl w:ilvl="0" w:tentative="0">
      <w:start w:val="1"/>
      <w:numFmt w:val="chineseCounting"/>
      <w:suff w:val="nothing"/>
      <w:lvlText w:val="%1、"/>
      <w:lvlJc w:val="left"/>
      <w:rPr>
        <w:rFonts w:hint="eastAsia"/>
      </w:rPr>
    </w:lvl>
  </w:abstractNum>
  <w:abstractNum w:abstractNumId="5">
    <w:nsid w:val="6A0664E0"/>
    <w:multiLevelType w:val="singleLevel"/>
    <w:tmpl w:val="6A0664E0"/>
    <w:lvl w:ilvl="0" w:tentative="0">
      <w:start w:val="8"/>
      <w:numFmt w:val="chineseCounting"/>
      <w:suff w:val="nothing"/>
      <w:lvlText w:val="%1、"/>
      <w:lvlJc w:val="left"/>
      <w:rPr>
        <w:rFonts w:hint="eastAsia"/>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2FhYzhhOGQyM2VjNWE4MjY4ZmIxMzhlNDU0YjEifQ=="/>
  </w:docVars>
  <w:rsids>
    <w:rsidRoot w:val="00000000"/>
    <w:rsid w:val="02706AF1"/>
    <w:rsid w:val="0BFB189F"/>
    <w:rsid w:val="0FAB3042"/>
    <w:rsid w:val="11D5049D"/>
    <w:rsid w:val="13C33D75"/>
    <w:rsid w:val="15BF5A7F"/>
    <w:rsid w:val="1CB810E7"/>
    <w:rsid w:val="20871265"/>
    <w:rsid w:val="226D7042"/>
    <w:rsid w:val="2B5E6002"/>
    <w:rsid w:val="2C8A04AB"/>
    <w:rsid w:val="2DCD5E31"/>
    <w:rsid w:val="35A87FEF"/>
    <w:rsid w:val="35DA1C76"/>
    <w:rsid w:val="360C5C5F"/>
    <w:rsid w:val="3BB30F9F"/>
    <w:rsid w:val="3E6C2511"/>
    <w:rsid w:val="3F104B63"/>
    <w:rsid w:val="3F730BC6"/>
    <w:rsid w:val="42D00689"/>
    <w:rsid w:val="45303661"/>
    <w:rsid w:val="53965D6C"/>
    <w:rsid w:val="56A874FB"/>
    <w:rsid w:val="5DFF2CAE"/>
    <w:rsid w:val="5E9919E2"/>
    <w:rsid w:val="61263F22"/>
    <w:rsid w:val="62D3348B"/>
    <w:rsid w:val="636522D0"/>
    <w:rsid w:val="66F7FFB2"/>
    <w:rsid w:val="6A7813EF"/>
    <w:rsid w:val="6CF748E0"/>
    <w:rsid w:val="721C7A24"/>
    <w:rsid w:val="7777843A"/>
    <w:rsid w:val="780815D7"/>
    <w:rsid w:val="7EFF85C4"/>
    <w:rsid w:val="7F272E63"/>
    <w:rsid w:val="7FA74446"/>
    <w:rsid w:val="FBAB7788"/>
    <w:rsid w:val="FBFBE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rFonts w:eastAsia="黑体"/>
      <w:b/>
      <w:bCs/>
      <w:kern w:val="44"/>
      <w:sz w:val="36"/>
      <w:szCs w:val="44"/>
    </w:rPr>
  </w:style>
  <w:style w:type="paragraph" w:styleId="4">
    <w:name w:val="heading 3"/>
    <w:basedOn w:val="1"/>
    <w:next w:val="1"/>
    <w:autoRedefine/>
    <w:qFormat/>
    <w:uiPriority w:val="0"/>
    <w:pPr>
      <w:keepNext/>
      <w:keepLines/>
      <w:spacing w:before="140" w:after="140" w:line="416" w:lineRule="auto"/>
      <w:outlineLvl w:val="2"/>
    </w:pPr>
    <w:rPr>
      <w:rFonts w:eastAsia="黑体"/>
      <w:b/>
      <w:bCs/>
      <w:sz w:val="30"/>
      <w:szCs w:val="32"/>
    </w:rPr>
  </w:style>
  <w:style w:type="paragraph" w:styleId="2">
    <w:name w:val="heading 4"/>
    <w:basedOn w:val="1"/>
    <w:next w:val="1"/>
    <w:autoRedefine/>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autoRedefine/>
    <w:qFormat/>
    <w:uiPriority w:val="0"/>
    <w:pPr>
      <w:ind w:firstLine="420"/>
    </w:pPr>
    <w:rPr>
      <w:rFonts w:ascii="Times New Roman" w:hAnsi="Times New Roman" w:eastAsia="宋体" w:cs="Times New Roman"/>
      <w:lang w:val="en-US" w:eastAsia="zh-CN" w:bidi="ar-SA"/>
    </w:rPr>
  </w:style>
  <w:style w:type="paragraph" w:styleId="6">
    <w:name w:val="annotation text"/>
    <w:basedOn w:val="1"/>
    <w:autoRedefine/>
    <w:qFormat/>
    <w:uiPriority w:val="0"/>
    <w:pPr>
      <w:jc w:val="left"/>
    </w:pPr>
  </w:style>
  <w:style w:type="paragraph" w:styleId="7">
    <w:name w:val="Body Text"/>
    <w:basedOn w:val="1"/>
    <w:next w:val="8"/>
    <w:link w:val="23"/>
    <w:autoRedefine/>
    <w:qFormat/>
    <w:uiPriority w:val="0"/>
    <w:pPr>
      <w:spacing w:after="120"/>
    </w:pPr>
  </w:style>
  <w:style w:type="paragraph" w:styleId="8">
    <w:name w:val="Body Text First Indent 2"/>
    <w:basedOn w:val="9"/>
    <w:next w:val="7"/>
    <w:autoRedefine/>
    <w:qFormat/>
    <w:uiPriority w:val="0"/>
    <w:pPr>
      <w:ind w:firstLine="420" w:firstLineChars="200"/>
    </w:pPr>
    <w:rPr>
      <w:rFonts w:ascii="Times New Roman" w:hAnsi="Times New Roman" w:eastAsia="宋体" w:cs="Times New Roman"/>
    </w:rPr>
  </w:style>
  <w:style w:type="paragraph" w:styleId="9">
    <w:name w:val="Body Text Indent"/>
    <w:basedOn w:val="1"/>
    <w:autoRedefine/>
    <w:qFormat/>
    <w:uiPriority w:val="0"/>
    <w:pPr>
      <w:spacing w:after="120" w:afterLines="0"/>
      <w:ind w:left="420" w:leftChars="200"/>
    </w:pPr>
    <w:rPr>
      <w:rFonts w:ascii="Calibri" w:hAnsi="Calibri" w:eastAsia="宋体" w:cs="Times New Roman"/>
      <w:szCs w:val="21"/>
    </w:rPr>
  </w:style>
  <w:style w:type="paragraph" w:styleId="10">
    <w:name w:val="Date"/>
    <w:basedOn w:val="1"/>
    <w:next w:val="1"/>
    <w:link w:val="25"/>
    <w:autoRedefine/>
    <w:unhideWhenUsed/>
    <w:qFormat/>
    <w:uiPriority w:val="0"/>
    <w:pPr>
      <w:ind w:left="100" w:leftChars="2500"/>
    </w:pPr>
  </w:style>
  <w:style w:type="paragraph" w:styleId="11">
    <w:name w:val="Body Text Indent 2"/>
    <w:basedOn w:val="1"/>
    <w:autoRedefine/>
    <w:qFormat/>
    <w:uiPriority w:val="0"/>
    <w:pPr>
      <w:spacing w:line="560" w:lineRule="exact"/>
      <w:ind w:left="2125" w:leftChars="1012" w:firstLine="713" w:firstLineChars="198"/>
    </w:pPr>
    <w:rPr>
      <w:rFonts w:ascii="仿宋_GB2312" w:eastAsia="仿宋_GB2312"/>
      <w:bCs/>
      <w:spacing w:val="20"/>
      <w:sz w:val="32"/>
      <w:szCs w:val="32"/>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autoRedefine/>
    <w:qFormat/>
    <w:uiPriority w:val="0"/>
    <w:pPr>
      <w:spacing w:before="240" w:after="60" w:line="312" w:lineRule="auto"/>
      <w:jc w:val="left"/>
      <w:outlineLvl w:val="1"/>
    </w:pPr>
    <w:rPr>
      <w:rFonts w:ascii="Cambria" w:hAnsi="Cambria" w:eastAsia="黑体"/>
      <w:b/>
      <w:bCs/>
      <w:kern w:val="28"/>
      <w:sz w:val="36"/>
      <w:szCs w:val="32"/>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paragraph" w:customStyle="1" w:styleId="22">
    <w:name w:val="Char1 Char Char Char Char Char Char"/>
    <w:basedOn w:val="1"/>
    <w:autoRedefine/>
    <w:qFormat/>
    <w:uiPriority w:val="0"/>
  </w:style>
  <w:style w:type="character" w:customStyle="1" w:styleId="23">
    <w:name w:val="正文文本 字符"/>
    <w:basedOn w:val="19"/>
    <w:link w:val="7"/>
    <w:autoRedefine/>
    <w:qFormat/>
    <w:uiPriority w:val="0"/>
    <w:rPr>
      <w:kern w:val="2"/>
      <w:sz w:val="21"/>
      <w:szCs w:val="24"/>
    </w:rPr>
  </w:style>
  <w:style w:type="paragraph" w:customStyle="1" w:styleId="24">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
    <w:name w:val="日期 字符"/>
    <w:basedOn w:val="19"/>
    <w:link w:val="10"/>
    <w:autoRedefine/>
    <w:semiHidden/>
    <w:qFormat/>
    <w:uiPriority w:val="0"/>
    <w:rPr>
      <w:kern w:val="2"/>
      <w:sz w:val="21"/>
      <w:szCs w:val="24"/>
    </w:rPr>
  </w:style>
  <w:style w:type="paragraph" w:customStyle="1" w:styleId="26">
    <w:name w:val="List Paragraph"/>
    <w:basedOn w:val="1"/>
    <w:autoRedefine/>
    <w:qFormat/>
    <w:uiPriority w:val="34"/>
    <w:pPr>
      <w:ind w:firstLine="420" w:firstLineChars="200"/>
    </w:pPr>
  </w:style>
  <w:style w:type="paragraph" w:customStyle="1" w:styleId="27">
    <w:name w:val="WPSOffice手动目录 1"/>
    <w:autoRedefine/>
    <w:qFormat/>
    <w:uiPriority w:val="0"/>
    <w:rPr>
      <w:rFonts w:ascii="Calibri" w:hAnsi="Calibri" w:eastAsia="宋体" w:cs="Times New Roman"/>
      <w:lang w:val="en-US" w:eastAsia="zh-CN" w:bidi="ar-SA"/>
    </w:rPr>
  </w:style>
  <w:style w:type="paragraph" w:customStyle="1" w:styleId="28">
    <w:name w:val="Table Paragraph"/>
    <w:basedOn w:val="1"/>
    <w:autoRedefine/>
    <w:qFormat/>
    <w:uiPriority w:val="0"/>
    <w:pPr>
      <w:jc w:val="left"/>
    </w:pPr>
    <w:rPr>
      <w:rFonts w:ascii="Calibri" w:hAnsi="Calibri"/>
      <w:kern w:val="0"/>
      <w:sz w:val="22"/>
      <w:szCs w:val="22"/>
      <w:lang w:eastAsia="en-US"/>
    </w:rPr>
  </w:style>
  <w:style w:type="character" w:customStyle="1" w:styleId="29">
    <w:name w:val="标题 1 字符"/>
    <w:link w:val="3"/>
    <w:autoRedefine/>
    <w:qFormat/>
    <w:uiPriority w:val="0"/>
    <w:rPr>
      <w:rFonts w:eastAsia="黑体"/>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312</Words>
  <Characters>347</Characters>
  <Lines>2</Lines>
  <Paragraphs>1</Paragraphs>
  <TotalTime>26</TotalTime>
  <ScaleCrop>false</ScaleCrop>
  <LinksUpToDate>false</LinksUpToDate>
  <CharactersWithSpaces>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2021-02-25T19:03:00Z</dcterms:created>
  <dc:creator>雨林木风</dc:creator>
  <cp:lastModifiedBy>L</cp:lastModifiedBy>
  <cp:lastPrinted>2024-01-12T07:06:00Z</cp:lastPrinted>
  <dcterms:modified xsi:type="dcterms:W3CDTF">2024-01-12T07:22:49Z</dcterms:modified>
  <dc:title>关于印发《四川省开展“庸懒散浮拖”问题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286593102_btnclosed</vt:lpwstr>
  </property>
  <property fmtid="{D5CDD505-2E9C-101B-9397-08002B2CF9AE}" pid="4" name="ICV">
    <vt:lpwstr>D94F7CEE04B444C3A03FB66E764468D8_13</vt:lpwstr>
  </property>
</Properties>
</file>